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200"/>
      </w:pPr>
      <w:r>
        <w:rPr>
          <w:rFonts w:ascii="Arial" w:cs="Arial" w:eastAsia="Arial" w:hAnsi="Arial"/>
          <w:b/>
          <w:bCs/>
          <w:color w:val="0F1620"/>
          <w:sz w:val="26"/>
          <w:szCs w:val="26"/>
        </w:rPr>
        <w:t xml:space="preserve">FlintScope</w:t>
      </w:r>
      <w:r>
        <w:rPr>
          <w:rFonts w:ascii="Arial" w:cs="Arial" w:eastAsia="Arial" w:hAnsi="Arial"/>
          <w:color w:val="5B6672"/>
          <w:sz w:val="20"/>
          <w:szCs w:val="20"/>
        </w:rPr>
        <w:t xml:space="preserve">  ·  Vulnerability Management Program Kit  ·  Kit v1.2 (2026-10)  ·  CC BY-NC 4.0  ·  flintscope.com/license.html</w:t>
      </w:r>
    </w:p>
    <w:p>
      <w:pPr>
        <w:pBdr>
          <w:bottom w:val="single" w:color="C9A24B" w:sz="10" w:space="6"/>
        </w:pBdr>
        <w:spacing w:after="260"/>
      </w:pPr>
      <w:r>
        <w:rPr>
          <w:rFonts w:ascii="Arial" w:cs="Arial" w:eastAsia="Arial" w:hAnsi="Arial"/>
        </w:rPr>
        <w:t xml:space="preserve"/>
      </w:r>
    </w:p>
    <w:p>
      <w:pPr>
        <w:spacing w:after="80"/>
      </w:pPr>
      <w:r>
        <w:rPr>
          <w:rFonts w:ascii="Arial" w:cs="Arial" w:eastAsia="Arial" w:hAnsi="Arial"/>
          <w:b/>
          <w:bCs/>
          <w:color w:val="0F1620"/>
          <w:sz w:val="44"/>
          <w:szCs w:val="44"/>
        </w:rPr>
        <w:t xml:space="preserve">Executive Vulnerability Report</w:t>
      </w:r>
    </w:p>
    <w:p>
      <w:pPr>
        <w:spacing w:after="240"/>
      </w:pPr>
      <w:r>
        <w:rPr>
          <w:rFonts w:ascii="Arial" w:cs="Arial" w:eastAsia="Arial" w:hAnsi="Arial"/>
          <w:color w:val="5B6672"/>
          <w:sz w:val="24"/>
          <w:szCs w:val="24"/>
        </w:rPr>
        <w:t xml:space="preserve">A one-page posture summary for leadership. Replace bracketed values each period.</w:t>
      </w:r>
    </w:p>
    <w:p>
      <w:pPr>
        <w:spacing w:after="120"/>
      </w:pPr>
      <w:r>
        <w:rPr>
          <w:rFonts w:ascii="Arial" w:cs="Arial" w:eastAsia="Arial" w:hAnsi="Arial"/>
          <w:b/>
          <w:bCs/>
        </w:rPr>
        <w:t xml:space="preserve">Reporting period: [Month YYYY]     ·     Prepared by: [Name, Security]     ·     Date: [date]</w:t>
      </w:r>
    </w:p>
    <w:p>
      <w:pPr>
        <w:spacing w:after="120"/>
      </w:pPr>
      <w:r>
        <w:rPr>
          <w:rFonts w:ascii="Arial" w:cs="Arial" w:eastAsia="Arial" w:hAnsi="Arial"/>
          <w:i/>
          <w:iCs/>
          <w:color w:val="5B6672"/>
          <w:sz w:val="18"/>
          <w:szCs w:val="18"/>
        </w:rPr>
        <w:t xml:space="preserve">How to use: this template answers one question for leadership — “are we exposed, and is it getting better or worse?” Fill the bracketed fields from the Dashboard tab of the Prioritization Model each period. Keep it to one page.</w:t>
      </w:r>
    </w:p>
    <w:p>
      <w:r>
        <w:rPr>
          <w:b/>
          <w:i/>
          <w:color w:val="595959"/>
          <w:sz w:val="18"/>
        </w:rPr>
        <w:t xml:space="preserve">Operator's note — </w:t>
      </w:r>
      <w:r>
        <w:rPr>
          <w:i/>
          <w:color w:val="595959"/>
          <w:sz w:val="18"/>
        </w:rPr>
        <w:t>leadership will read the biggest number on the page as the story. Lead with known-exploited exposure and overdue P1s; let raw backlog totals come last, with the trend column doing the talking.</w:t>
      </w:r>
    </w:p>
    <w:p>
      <w:pPr>
        <w:pStyle w:val="Heading1"/>
        <w:pBdr>
          <w:bottom w:val="single" w:color="C9A24B" w:sz="6" w:space="4"/>
        </w:pBdr>
        <w:spacing w:after="140" w:before="280"/>
      </w:pPr>
      <w:r>
        <w:rPr>
          <w:rFonts w:ascii="Arial" w:cs="Arial" w:eastAsia="Arial" w:hAnsi="Arial"/>
          <w:b/>
          <w:bCs/>
          <w:color w:val="0F1620"/>
          <w:sz w:val="28"/>
          <w:szCs w:val="28"/>
        </w:rPr>
        <w:t xml:space="preserve">Posture Summary</w:t>
      </w:r>
    </w:p>
    <w:p>
      <w:pPr>
        <w:spacing w:after="120"/>
      </w:pPr>
      <w:r>
        <w:rPr>
          <w:rFonts w:ascii="Arial" w:cs="Arial" w:eastAsia="Arial" w:hAnsi="Arial"/>
        </w:rPr>
        <w:t xml:space="preserve">[One or two sentences: overall risk posture this period and the single most important thing leadership should know. e.g., “Exposure is down quarter-over-quarter; all actively exploited findings were remediated within SLA. One Tier-0 exception remains open, expiring [date].”]</w:t>
      </w:r>
    </w:p>
    <w:p>
      <w:pPr>
        <w:pStyle w:val="Heading1"/>
        <w:pBdr>
          <w:bottom w:val="single" w:color="C9A24B" w:sz="6" w:space="4"/>
        </w:pBdr>
        <w:spacing w:after="140" w:before="280"/>
      </w:pPr>
      <w:r>
        <w:rPr>
          <w:rFonts w:ascii="Arial" w:cs="Arial" w:eastAsia="Arial" w:hAnsi="Arial"/>
          <w:b/>
          <w:bCs/>
          <w:color w:val="0F1620"/>
          <w:sz w:val="28"/>
          <w:szCs w:val="28"/>
        </w:rPr>
        <w:t xml:space="preserve">Key Indicators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360"/>
        <w:gridCol w:w="1500"/>
        <w:gridCol w:w="1500"/>
        <w:gridCol w:w="1500"/>
        <w:gridCol w:w="1500"/>
      </w:tblGrid>
      <w:tr>
        <w:trPr>
          <w:tblHeader/>
        </w:trPr>
        <w:tc>
          <w:tcPr>
            <w:tcW w:type="dxa" w:w="33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0F162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Indicator</w:t>
            </w:r>
          </w:p>
        </w:tc>
        <w:tc>
          <w:tcPr>
            <w:tcW w:type="dxa" w:w="1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0F162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This period</w:t>
            </w:r>
          </w:p>
        </w:tc>
        <w:tc>
          <w:tcPr>
            <w:tcW w:type="dxa" w:w="1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0F162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Last period</w:t>
            </w:r>
          </w:p>
        </w:tc>
        <w:tc>
          <w:tcPr>
            <w:tcW w:type="dxa" w:w="1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0F162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Target</w:t>
            </w:r>
          </w:p>
        </w:tc>
        <w:tc>
          <w:tcPr>
            <w:tcW w:type="dxa" w:w="1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0F162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Trend</w:t>
            </w:r>
          </w:p>
        </w:tc>
      </w:tr>
      <w:tr>
        <w:tc>
          <w:tcPr>
            <w:tcW w:type="dxa" w:w="33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20"/>
                <w:szCs w:val="20"/>
              </w:rPr>
              <w:t xml:space="preserve">Actively exploited (KEV) findings open</w:t>
            </w:r>
          </w:p>
        </w:tc>
        <w:tc>
          <w:tcPr>
            <w:tcW w:type="dxa" w:w="1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20"/>
                <w:szCs w:val="20"/>
              </w:rPr>
              <w:t xml:space="preserve">[#]</w:t>
            </w:r>
          </w:p>
        </w:tc>
        <w:tc>
          <w:tcPr>
            <w:tcW w:type="dxa" w:w="1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20"/>
                <w:szCs w:val="20"/>
              </w:rPr>
              <w:t xml:space="preserve">[#]</w:t>
            </w:r>
          </w:p>
        </w:tc>
        <w:tc>
          <w:tcPr>
            <w:tcW w:type="dxa" w:w="1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20"/>
                <w:szCs w:val="20"/>
              </w:rPr>
              <w:t xml:space="preserve">0</w:t>
            </w:r>
          </w:p>
        </w:tc>
        <w:tc>
          <w:tcPr>
            <w:tcW w:type="dxa" w:w="1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20"/>
                <w:szCs w:val="20"/>
              </w:rPr>
              <w:t>[better / worse / flat]</w:t>
            </w:r>
          </w:p>
        </w:tc>
      </w:tr>
      <w:tr>
        <w:tc>
          <w:tcPr>
            <w:tcW w:type="dxa" w:w="33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4F2EC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20"/>
                <w:szCs w:val="20"/>
              </w:rPr>
              <w:t xml:space="preserve">P1 open / overdue</w:t>
            </w:r>
          </w:p>
        </w:tc>
        <w:tc>
          <w:tcPr>
            <w:tcW w:type="dxa" w:w="1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4F2EC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20"/>
                <w:szCs w:val="20"/>
              </w:rPr>
              <w:t xml:space="preserve">[# / #]</w:t>
            </w:r>
          </w:p>
        </w:tc>
        <w:tc>
          <w:tcPr>
            <w:tcW w:type="dxa" w:w="1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4F2EC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20"/>
                <w:szCs w:val="20"/>
              </w:rPr>
              <w:t xml:space="preserve">[# / #]</w:t>
            </w:r>
          </w:p>
        </w:tc>
        <w:tc>
          <w:tcPr>
            <w:tcW w:type="dxa" w:w="1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4F2EC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20"/>
                <w:szCs w:val="20"/>
              </w:rPr>
              <w:t xml:space="preserve">0 overdue</w:t>
            </w:r>
          </w:p>
        </w:tc>
        <w:tc>
          <w:tcPr>
            <w:tcW w:type="dxa" w:w="1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4F2EC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20"/>
                <w:szCs w:val="20"/>
              </w:rPr>
              <w:t>[better / worse / flat]</w:t>
            </w:r>
          </w:p>
        </w:tc>
      </w:tr>
      <w:tr>
        <w:tc>
          <w:tcPr>
            <w:tcW w:type="dxa" w:w="33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20"/>
                <w:szCs w:val="20"/>
              </w:rPr>
              <w:t xml:space="preserve">SLA attainment (P1/P2)</w:t>
            </w:r>
          </w:p>
        </w:tc>
        <w:tc>
          <w:tcPr>
            <w:tcW w:type="dxa" w:w="1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20"/>
                <w:szCs w:val="20"/>
              </w:rPr>
              <w:t xml:space="preserve">[##%]</w:t>
            </w:r>
          </w:p>
        </w:tc>
        <w:tc>
          <w:tcPr>
            <w:tcW w:type="dxa" w:w="1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20"/>
                <w:szCs w:val="20"/>
              </w:rPr>
              <w:t xml:space="preserve">[##%]</w:t>
            </w:r>
          </w:p>
        </w:tc>
        <w:tc>
          <w:tcPr>
            <w:tcW w:type="dxa" w:w="1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20"/>
                <w:szCs w:val="20"/>
              </w:rPr>
              <w:t xml:space="preserve">≥ [95%]</w:t>
            </w:r>
          </w:p>
        </w:tc>
        <w:tc>
          <w:tcPr>
            <w:tcW w:type="dxa" w:w="1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20"/>
                <w:szCs w:val="20"/>
              </w:rPr>
              <w:t>[better / worse / flat]</w:t>
            </w:r>
          </w:p>
        </w:tc>
      </w:tr>
      <w:tr>
        <w:tc>
          <w:tcPr>
            <w:tcW w:type="dxa" w:w="33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4F2EC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20"/>
                <w:szCs w:val="20"/>
              </w:rPr>
              <w:t xml:space="preserve">Mean time to remediate — P1</w:t>
            </w:r>
          </w:p>
        </w:tc>
        <w:tc>
          <w:tcPr>
            <w:tcW w:type="dxa" w:w="1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4F2EC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20"/>
                <w:szCs w:val="20"/>
              </w:rPr>
              <w:t xml:space="preserve">[# days]</w:t>
            </w:r>
          </w:p>
        </w:tc>
        <w:tc>
          <w:tcPr>
            <w:tcW w:type="dxa" w:w="1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4F2EC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20"/>
                <w:szCs w:val="20"/>
              </w:rPr>
              <w:t xml:space="preserve">[# days]</w:t>
            </w:r>
          </w:p>
        </w:tc>
        <w:tc>
          <w:tcPr>
            <w:tcW w:type="dxa" w:w="1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4F2EC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20"/>
                <w:szCs w:val="20"/>
              </w:rPr>
              <w:t xml:space="preserve">≤ [target]</w:t>
            </w:r>
          </w:p>
        </w:tc>
        <w:tc>
          <w:tcPr>
            <w:tcW w:type="dxa" w:w="1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4F2EC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20"/>
                <w:szCs w:val="20"/>
              </w:rPr>
              <w:t>[better / worse / flat]</w:t>
            </w:r>
          </w:p>
        </w:tc>
      </w:tr>
      <w:tr>
        <w:tc>
          <w:tcPr>
            <w:tcW w:type="dxa" w:w="33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20"/>
                <w:szCs w:val="20"/>
              </w:rPr>
              <w:t xml:space="preserve">Open backlog (all priorities)</w:t>
            </w:r>
          </w:p>
        </w:tc>
        <w:tc>
          <w:tcPr>
            <w:tcW w:type="dxa" w:w="1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20"/>
                <w:szCs w:val="20"/>
              </w:rPr>
              <w:t xml:space="preserve">[#]</w:t>
            </w:r>
          </w:p>
        </w:tc>
        <w:tc>
          <w:tcPr>
            <w:tcW w:type="dxa" w:w="1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20"/>
                <w:szCs w:val="20"/>
              </w:rPr>
              <w:t xml:space="preserve">[#]</w:t>
            </w:r>
          </w:p>
        </w:tc>
        <w:tc>
          <w:tcPr>
            <w:tcW w:type="dxa" w:w="1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20"/>
                <w:szCs w:val="20"/>
              </w:rPr>
              <w:t xml:space="preserve">↓</w:t>
            </w:r>
          </w:p>
        </w:tc>
        <w:tc>
          <w:tcPr>
            <w:tcW w:type="dxa" w:w="1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20"/>
                <w:szCs w:val="20"/>
              </w:rPr>
              <w:t>[better / worse / flat]</w:t>
            </w:r>
          </w:p>
        </w:tc>
      </w:tr>
      <w:tr>
        <w:tc>
          <w:tcPr>
            <w:tcW w:type="dxa" w:w="33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4F2EC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20"/>
                <w:szCs w:val="20"/>
              </w:rPr>
              <w:t xml:space="preserve">Open exceptions (P1/P2)</w:t>
            </w:r>
          </w:p>
        </w:tc>
        <w:tc>
          <w:tcPr>
            <w:tcW w:type="dxa" w:w="1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4F2EC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20"/>
                <w:szCs w:val="20"/>
              </w:rPr>
              <w:t xml:space="preserve">[#]</w:t>
            </w:r>
          </w:p>
        </w:tc>
        <w:tc>
          <w:tcPr>
            <w:tcW w:type="dxa" w:w="1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4F2EC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20"/>
                <w:szCs w:val="20"/>
              </w:rPr>
              <w:t xml:space="preserve">[#]</w:t>
            </w:r>
          </w:p>
        </w:tc>
        <w:tc>
          <w:tcPr>
            <w:tcW w:type="dxa" w:w="1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4F2EC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20"/>
                <w:szCs w:val="20"/>
              </w:rPr>
              <w:t xml:space="preserve">↓</w:t>
            </w:r>
          </w:p>
        </w:tc>
        <w:tc>
          <w:tcPr>
            <w:tcW w:type="dxa" w:w="1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4F2EC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20"/>
                <w:szCs w:val="20"/>
              </w:rPr>
              <w:t>[better / worse / flat]</w:t>
            </w:r>
          </w:p>
        </w:tc>
      </w:tr>
    </w:tbl>
    <w:p>
      <w:pPr>
        <w:pStyle w:val="Heading1"/>
        <w:pBdr>
          <w:bottom w:val="single" w:color="C9A24B" w:sz="6" w:space="4"/>
        </w:pBdr>
        <w:spacing w:after="140" w:before="280"/>
      </w:pPr>
      <w:r>
        <w:rPr>
          <w:rFonts w:ascii="Arial" w:cs="Arial" w:eastAsia="Arial" w:hAnsi="Arial"/>
          <w:b/>
          <w:bCs/>
          <w:color w:val="0F1620"/>
          <w:sz w:val="28"/>
          <w:szCs w:val="28"/>
        </w:rPr>
        <w:t xml:space="preserve">Top Exposures This Period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2560"/>
        <w:gridCol w:w="1400"/>
        <w:gridCol w:w="2200"/>
      </w:tblGrid>
      <w:tr>
        <w:trPr>
          <w:tblHeader/>
        </w:trPr>
        <w:tc>
          <w:tcPr>
            <w:tcW w:type="dxa" w:w="3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0F162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Finding</w:t>
            </w:r>
          </w:p>
        </w:tc>
        <w:tc>
          <w:tcPr>
            <w:tcW w:type="dxa" w:w="25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0F162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Asset / tier</w:t>
            </w:r>
          </w:p>
        </w:tc>
        <w:tc>
          <w:tcPr>
            <w:tcW w:type="dxa" w:w="1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0F162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Priority</w:t>
            </w:r>
          </w:p>
        </w:tc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0F162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Status</w:t>
            </w:r>
          </w:p>
        </w:tc>
      </w:tr>
      <w:tr>
        <w:tc>
          <w:tcPr>
            <w:tcW w:type="dxa" w:w="3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20"/>
                <w:szCs w:val="20"/>
              </w:rPr>
              <w:t xml:space="preserve">[CVE / title]</w:t>
            </w:r>
          </w:p>
        </w:tc>
        <w:tc>
          <w:tcPr>
            <w:tcW w:type="dxa" w:w="25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20"/>
                <w:szCs w:val="20"/>
              </w:rPr>
              <w:t xml:space="preserve">[asset, Tier #]</w:t>
            </w:r>
          </w:p>
        </w:tc>
        <w:tc>
          <w:tcPr>
            <w:tcW w:type="dxa" w:w="1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20"/>
                <w:szCs w:val="20"/>
              </w:rPr>
              <w:t xml:space="preserve">[P1]</w:t>
            </w:r>
          </w:p>
        </w:tc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20"/>
                <w:szCs w:val="20"/>
              </w:rPr>
              <w:t xml:space="preserve">[Remediated / mitigated / in progress]</w:t>
            </w:r>
          </w:p>
        </w:tc>
      </w:tr>
      <w:tr>
        <w:tc>
          <w:tcPr>
            <w:tcW w:type="dxa" w:w="3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4F2EC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20"/>
                <w:szCs w:val="20"/>
              </w:rPr>
              <w:t xml:space="preserve">[CVE / title]</w:t>
            </w:r>
          </w:p>
        </w:tc>
        <w:tc>
          <w:tcPr>
            <w:tcW w:type="dxa" w:w="25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4F2EC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20"/>
                <w:szCs w:val="20"/>
              </w:rPr>
              <w:t xml:space="preserve">[asset, Tier #]</w:t>
            </w:r>
          </w:p>
        </w:tc>
        <w:tc>
          <w:tcPr>
            <w:tcW w:type="dxa" w:w="1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4F2EC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20"/>
                <w:szCs w:val="20"/>
              </w:rPr>
              <w:t xml:space="preserve">[P2]</w:t>
            </w:r>
          </w:p>
        </w:tc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4F2EC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20"/>
                <w:szCs w:val="20"/>
              </w:rPr>
              <w:t xml:space="preserve">[…]</w:t>
            </w:r>
          </w:p>
        </w:tc>
      </w:tr>
      <w:tr>
        <w:tc>
          <w:tcPr>
            <w:tcW w:type="dxa" w:w="3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20"/>
                <w:szCs w:val="20"/>
              </w:rPr>
              <w:t xml:space="preserve">[CVE / title]</w:t>
            </w:r>
          </w:p>
        </w:tc>
        <w:tc>
          <w:tcPr>
            <w:tcW w:type="dxa" w:w="25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20"/>
                <w:szCs w:val="20"/>
              </w:rPr>
              <w:t xml:space="preserve">[asset, Tier #]</w:t>
            </w:r>
          </w:p>
        </w:tc>
        <w:tc>
          <w:tcPr>
            <w:tcW w:type="dxa" w:w="1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20"/>
                <w:szCs w:val="20"/>
              </w:rPr>
              <w:t xml:space="preserve">[P2]</w:t>
            </w:r>
          </w:p>
        </w:tc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20"/>
                <w:szCs w:val="20"/>
              </w:rPr>
              <w:t xml:space="preserve">[…]</w:t>
            </w:r>
          </w:p>
        </w:tc>
      </w:tr>
    </w:tbl>
    <w:p>
      <w:pPr>
        <w:pStyle w:val="Heading1"/>
        <w:pBdr>
          <w:bottom w:val="single" w:color="C9A24B" w:sz="6" w:space="4"/>
        </w:pBdr>
        <w:spacing w:after="140" w:before="280"/>
      </w:pPr>
      <w:r>
        <w:rPr>
          <w:rFonts w:ascii="Arial" w:cs="Arial" w:eastAsia="Arial" w:hAnsi="Arial"/>
          <w:b/>
          <w:bCs/>
          <w:color w:val="0F1620"/>
          <w:sz w:val="28"/>
          <w:szCs w:val="28"/>
        </w:rPr>
        <w:t xml:space="preserve">Decisions &amp; Asks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</w:rPr>
        <w:t xml:space="preserve">[Decision or resource needed from leadership — e.g., approval to schedule downtime for a Tier-0 patch.]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</w:rPr>
        <w:t xml:space="preserve">[Risk acceptance requiring executive sign-off, with expiry.]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</w:rPr>
        <w:t xml:space="preserve">[Trend or emerging risk to flag for next period.]</w:t>
      </w:r>
    </w:p>
    <w:p>
      <w:pPr>
        <w:spacing w:after="120"/>
      </w:pPr>
      <w:r>
        <w:rPr>
          <w:rFonts w:ascii="Arial" w:cs="Arial" w:eastAsia="Arial" w:hAnsi="Arial"/>
          <w:i/>
          <w:iCs/>
          <w:color w:val="5B6672"/>
          <w:sz w:val="16"/>
          <w:szCs w:val="16"/>
        </w:rPr>
        <w:t xml:space="preserve">Prepared with the FlintScope VM Program Kit. Figures source: Prioritization Model, Dashboard tab.</w:t>
      </w:r>
    </w:p>
    <w:sectPr>
      <w:headerReference w:type="default" r:id="rId7"/>
      <w:footerReference w:type="default" r:id="rId8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DDDDD" w:sz="4" w:space="6"/>
      </w:pBdr>
      <w:jc w:val="center"/>
    </w:pPr>
    <w:r>
      <w:rPr>
        <w:rFonts w:ascii="Arial" w:cs="Arial" w:eastAsia="Arial" w:hAnsi="Arial"/>
        <w:color w:val="5B6672"/>
        <w:sz w:val="16"/>
        <w:szCs w:val="16"/>
      </w:rPr>
      <w:t xml:space="preserve">Executive Vulnerability Report   ·   </w:t>
    </w:r>
    <w:r>
      <w:rPr>
        <w:rFonts w:ascii="Arial" w:cs="Arial" w:eastAsia="Arial" w:hAnsi="Arial"/>
        <w:color w:val="5B6672"/>
        <w:sz w:val="16"/>
        <w:szCs w:val="16"/>
      </w:rPr>
      <w:t xml:space="preserve">Page </w:t>
    </w:r>
    <w:r>
      <w:rPr>
        <w:rFonts w:ascii="Arial" w:cs="Arial" w:eastAsia="Arial" w:hAnsi="Arial"/>
        <w:color w:val="5B6672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/>
      <w:jc w:val="right"/>
    </w:pPr>
    <w:r>
      <w:rPr>
        <w:rFonts w:ascii="Arial" w:cs="Arial" w:eastAsia="Arial" w:hAnsi="Arial"/>
        <w:b/>
        <w:bCs/>
        <w:color w:val="0F1620"/>
        <w:sz w:val="16"/>
        <w:szCs w:val="16"/>
      </w:rPr>
      <w:t xml:space="preserve">FlintScope</w:t>
    </w:r>
    <w:r>
      <w:rPr>
        <w:rFonts w:ascii="Arial" w:cs="Arial" w:eastAsia="Arial" w:hAnsi="Arial"/>
        <w:color w:val="5B6672"/>
        <w:sz w:val="16"/>
        <w:szCs w:val="16"/>
      </w:rPr>
      <w:t xml:space="preserve"> · VM Program Kit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60" w:hanging="28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60" w:hanging="300"/>
      </w:pPr>
    </w:lvl>
  </w:abstractNum>
  <w:abstractNum w:abstractNumId="4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60" w:hanging="300"/>
      </w:pPr>
    </w:lvl>
  </w:abstractNum>
  <w:abstractNum w:abstractNumId="5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60" w:hanging="3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222222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140" w:before="280"/>
      <w:outlineLvl w:val="0"/>
    </w:pPr>
    <w:rPr>
      <w:rFonts w:ascii="Arial" w:cs="Arial" w:eastAsia="Arial" w:hAnsi="Arial"/>
      <w:b/>
      <w:bCs/>
      <w:color w:val="0F1620"/>
      <w:sz w:val="28"/>
      <w:szCs w:val="28"/>
    </w:rPr>
  </w:style>
  <w:style w:type="paragraph" w:styleId="Heading2">
    <w:name w:val="Heading 2"/>
    <w:basedOn w:val="Normal"/>
    <w:next w:val="Normal"/>
    <w:qFormat/>
    <w:pPr>
      <w:spacing w:after="90" w:before="200"/>
      <w:outlineLvl w:val="1"/>
    </w:pPr>
    <w:rPr>
      <w:rFonts w:ascii="Arial" w:cs="Arial" w:eastAsia="Arial" w:hAnsi="Arial"/>
      <w:b/>
      <w:bCs/>
      <w:color w:val="1B2632"/>
      <w:sz w:val="24"/>
      <w:szCs w:val="24"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Executive Vulnerability Report</dc:title>
  <dc:creator>FlintScope</dc:creator>
  <cp:lastModifiedBy>Un-named</cp:lastModifiedBy>
  <cp:revision>1</cp:revision>
  <dcterms:created xsi:type="dcterms:W3CDTF">2026-06-27T07:26:03.535Z</dcterms:created>
  <dcterms:modified xsi:type="dcterms:W3CDTF">2026-06-27T07:26:03.535Z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