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color w:val="6B6B70"/>
          <w:sz w:val="18"/>
          <w:szCs w:val="18"/>
        </w:rPr>
        <w:t xml:space="preserve">FlintScope  ·  Vulnerability Management Program Kit  ·  Kit v1.2 (2026-10)</w:t>
      </w:r>
    </w:p>
    <w:p>
      <w:pPr>
        <w:spacing w:after="60"/>
      </w:pPr>
      <w:r>
        <w:rPr>
          <w:b/>
          <w:bCs/>
          <w:color w:val="0F1620"/>
          <w:sz w:val="40"/>
          <w:szCs w:val="40"/>
        </w:rPr>
        <w:t xml:space="preserve">Scanner Onboarding Notes</w:t>
      </w:r>
    </w:p>
    <w:p>
      <w:pPr>
        <w:spacing w:after="120"/>
      </w:pPr>
      <w:r>
        <w:rPr>
          <w:color w:val="6B6B70"/>
          <w:sz w:val="22"/>
          <w:szCs w:val="22"/>
        </w:rPr>
        <w:t xml:space="preserve">How to bring any scanner into the program so its findings flow cleanly into the Prioritization Model, its Import tab, and its Dashboard, with notes for Tenable, Qualys, Rapid7, Wiz, and Snyk.</w:t>
      </w:r>
    </w:p>
    <w:p>
      <w:pPr>
        <w:spacing w:after="120"/>
      </w:pPr>
      <w:r>
        <w:rPr>
          <w:sz w:val="21"/>
          <w:szCs w:val="21"/>
        </w:rPr>
        <w:t xml:space="preserve">The program is tool-agnostic on purpose. A scanner’s job is to find and describe; the program’s job is to decide. Onboarding is about getting the handful of fields the decision needs out of each tool reliably, and about trusting coverage before you trust numbers.</w:t>
      </w:r>
    </w:p>
    <w:p>
      <w:pPr>
        <w:spacing w:after="120"/>
      </w:pPr>
      <w:r>
        <w:rPr>
          <w:sz w:val="21"/>
          <w:szCs w:val="21"/>
        </w:rPr>
        <w:t xml:space="preserve">Where the scoring lives. The Prioritization Model workbook is the thinking layer, not the queue. Paste a scanner export on its Import tab, map the columns once, and it scores, prioritizes, and reports. At scale, the same fields and the resulting priority belong in the ticket system (Jira, ServiceNow) as custom fields, so triage happens where the work is tracked. Keep the workbook to prove and tune the model, and for the monthly metrics conversation.</w:t>
      </w:r>
    </w:p>
    <w:p>
      <w:pPr>
        <w:pStyle w:val="Heading1"/>
      </w:pPr>
      <w:r>
        <w:t xml:space="preserve">1. What the program needs from any scanner</w:t>
      </w:r>
    </w:p>
    <w:p>
      <w:pPr>
        <w:spacing w:after="120"/>
      </w:pPr>
      <w:r>
        <w:rPr>
          <w:sz w:val="21"/>
          <w:szCs w:val="21"/>
        </w:rPr>
        <w:t xml:space="preserve">Whatever the tool, the Model needs these fields per finding; its Import tab maps them from your export once. If a scanner can’t supply one, the right-hand column says where it comes from instead.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000"/>
        <w:gridCol w:w="4060"/>
      </w:tblGrid>
      <w:tr>
        <w:trPr>
          <w:tblHeader/>
        </w:trPr>
        <w:tc>
          <w:tcPr>
            <w:tcW w:type="dxa" w:w="2300"/>
            <w:tcBorders>
              <w:top w:val="single" w:color="CCCCCC" w:sz="1"/>
              <w:left w:val="single" w:color="CCCCCC" w:sz="1"/>
              <w:bottom w:val="single" w:color="CCCCCC" w:sz="1"/>
              <w:right w:val="single" w:color="CCCCCC" w:sz="1"/>
            </w:tcBorders>
            <w:shd w:fill="F2F2F2" w:val="clear"/>
            <w:tcMar>
              <w:top w:type="dxa" w:w="70"/>
              <w:left w:type="dxa" w:w="110"/>
              <w:bottom w:type="dxa" w:w="70"/>
              <w:right w:type="dxa" w:w="110"/>
            </w:tcMar>
          </w:tcPr>
          <w:p>
            <w:pPr>
              <w:spacing w:after="0"/>
            </w:pPr>
            <w:r>
              <w:rPr>
                <w:b/>
                <w:bCs/>
                <w:sz w:val="19"/>
                <w:szCs w:val="19"/>
              </w:rPr>
              <w:t xml:space="preserve">Field</w:t>
            </w:r>
          </w:p>
        </w:tc>
        <w:tc>
          <w:tcPr>
            <w:tcW w:type="dxa" w:w="3000"/>
            <w:tcBorders>
              <w:top w:val="single" w:color="CCCCCC" w:sz="1"/>
              <w:left w:val="single" w:color="CCCCCC" w:sz="1"/>
              <w:bottom w:val="single" w:color="CCCCCC" w:sz="1"/>
              <w:right w:val="single" w:color="CCCCCC" w:sz="1"/>
            </w:tcBorders>
            <w:shd w:fill="F2F2F2" w:val="clear"/>
            <w:tcMar>
              <w:top w:type="dxa" w:w="70"/>
              <w:left w:type="dxa" w:w="110"/>
              <w:bottom w:type="dxa" w:w="70"/>
              <w:right w:type="dxa" w:w="110"/>
            </w:tcMar>
          </w:tcPr>
          <w:p>
            <w:pPr>
              <w:spacing w:after="0"/>
            </w:pPr>
            <w:r>
              <w:rPr>
                <w:b/>
                <w:bCs/>
                <w:sz w:val="19"/>
                <w:szCs w:val="19"/>
              </w:rPr>
              <w:t xml:space="preserve">Used by</w:t>
            </w:r>
          </w:p>
        </w:tc>
        <w:tc>
          <w:tcPr>
            <w:tcW w:type="dxa" w:w="4060"/>
            <w:tcBorders>
              <w:top w:val="single" w:color="CCCCCC" w:sz="1"/>
              <w:left w:val="single" w:color="CCCCCC" w:sz="1"/>
              <w:bottom w:val="single" w:color="CCCCCC" w:sz="1"/>
              <w:right w:val="single" w:color="CCCCCC" w:sz="1"/>
            </w:tcBorders>
            <w:shd w:fill="F2F2F2" w:val="clear"/>
            <w:tcMar>
              <w:top w:type="dxa" w:w="70"/>
              <w:left w:type="dxa" w:w="110"/>
              <w:bottom w:type="dxa" w:w="70"/>
              <w:right w:type="dxa" w:w="110"/>
            </w:tcMar>
          </w:tcPr>
          <w:p>
            <w:pPr>
              <w:spacing w:after="0"/>
            </w:pPr>
            <w:r>
              <w:rPr>
                <w:b/>
                <w:bCs/>
                <w:sz w:val="19"/>
                <w:szCs w:val="19"/>
              </w:rPr>
              <w:t xml:space="preserve">If the scanner lacks it</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Finding ID / CVE</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Dedup key; Findings row identity</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Use the tool’s rule/plugin ID when there is no CVE (misconfigurations)</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Asset identifier</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Dedup key; ties to tier and owner</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Must match the inventory name — normalise hostnames/FQDNs/instance IDs first</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CVSS base score</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Severity factor (Stage 2)</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NVD if the tool omits it</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EPSS score</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Exploit-likelihood factor; threat gate</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first.org/epss (free daily CSV) joined on CVE</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Known-exploited (KEV) flag</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Threat gate (with internet exposure); exploit-likelihood factor at maximum</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cisa.gov/kev joined on CVE if the tool has no flag</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First seen / last seen</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Opened date; freshness</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Ticket created date as fallback</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Resolved / fixed date</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Closed date → MTTR, SLA outcome</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Ticket resolution date</w:t>
            </w:r>
          </w:p>
        </w:tc>
      </w:tr>
      <w:tr>
        <w:tc>
          <w:tcPr>
            <w:tcW w:type="dxa" w:w="23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Owner / team attribute</w:t>
            </w:r>
          </w:p>
        </w:tc>
        <w:tc>
          <w:tcPr>
            <w:tcW w:type="dxa" w:w="300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Routing (Runbook §4)</w:t>
            </w:r>
          </w:p>
        </w:tc>
        <w:tc>
          <w:tcPr>
            <w:tcW w:type="dxa" w:w="40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pPr>
            <w:r>
              <w:rPr>
                <w:b w:val="false"/>
                <w:bCs w:val="false"/>
                <w:sz w:val="19"/>
                <w:szCs w:val="19"/>
              </w:rPr>
              <w:t xml:space="preserve">Inventory or CMDB; tag assets before onboarding</w:t>
            </w:r>
          </w:p>
        </w:tc>
      </w:tr>
    </w:tbl>
    <w:p>
      <w:pPr>
        <w:spacing w:after="120"/>
      </w:pPr>
      <w:r>
        <w:rPr>
          <w:sz w:val="21"/>
          <w:szCs w:val="21"/>
        </w:rPr>
        <w:t xml:space="preserve"/>
      </w:r>
    </w:p>
    <w:p>
      <w:pPr>
        <w:spacing w:after="120"/>
      </w:pPr>
      <w:r>
        <w:rPr>
          <w:sz w:val="21"/>
          <w:szCs w:val="21"/>
        </w:rPr>
        <w:t xml:space="preserve">Two things the scanner does not know and never will: </w:t>
      </w:r>
      <w:r>
        <w:rPr>
          <w:b/>
          <w:bCs/>
          <w:sz w:val="21"/>
          <w:szCs w:val="21"/>
        </w:rPr>
        <w:t xml:space="preserve">asset criticality</w:t>
      </w:r>
      <w:r>
        <w:rPr>
          <w:sz w:val="21"/>
          <w:szCs w:val="21"/>
        </w:rPr>
        <w:t xml:space="preserve"> and </w:t>
      </w:r>
      <w:r>
        <w:rPr>
          <w:b/>
          <w:bCs/>
          <w:sz w:val="21"/>
          <w:szCs w:val="21"/>
        </w:rPr>
        <w:t xml:space="preserve">exposure</w:t>
      </w:r>
      <w:r>
        <w:rPr>
          <w:sz w:val="21"/>
          <w:szCs w:val="21"/>
        </w:rPr>
        <w:t xml:space="preserve">. Those come from your inventory (Policy §5) and your network reality. Wiz-style cloud tools can supply exposure context; the tier is always yours.</w:t>
      </w:r>
    </w:p>
    <w:p>
      <w:pPr>
        <w:pStyle w:val="Heading1"/>
      </w:pPr>
      <w:r>
        <w:t xml:space="preserve">2. Onboarding checklist (any tool)</w:t>
      </w:r>
    </w:p>
    <w:p>
      <w:pPr>
        <w:pStyle w:val="ListParagraph"/>
        <w:numPr>
          <w:ilvl w:val="0"/>
          <w:numId w:val="2"/>
        </w:numPr>
        <w:spacing w:after="80"/>
      </w:pPr>
      <w:r>
        <w:rPr>
          <w:sz w:val="21"/>
          <w:szCs w:val="21"/>
        </w:rPr>
        <w:t xml:space="preserve">Set the coverage target first. </w:t>
      </w:r>
      <w:r>
        <w:rPr>
          <w:sz w:val="21"/>
          <w:szCs w:val="21"/>
        </w:rPr>
        <w:t xml:space="preserve">Per tier, what must be scanned and how often (Policy §6 cadence: Tier 0/1 weekly authenticated, daily KEV/EPSS refresh). Write it down before the first scan so “coverage” has a denominator.</w:t>
      </w:r>
    </w:p>
    <w:p>
      <w:pPr>
        <w:pStyle w:val="ListParagraph"/>
        <w:numPr>
          <w:ilvl w:val="0"/>
          <w:numId w:val="2"/>
        </w:numPr>
        <w:spacing w:after="80"/>
      </w:pPr>
      <w:r>
        <w:rPr>
          <w:sz w:val="21"/>
          <w:szCs w:val="21"/>
        </w:rPr>
        <w:t xml:space="preserve">Scan authenticated. </w:t>
      </w:r>
      <w:r>
        <w:rPr>
          <w:sz w:val="21"/>
          <w:szCs w:val="21"/>
        </w:rPr>
        <w:t xml:space="preserve">Credentialed or agent-based scanning sees what an attacker with a foothold sees; unauthenticated scans systematically understate exposure. PCI DSS v4.0 makes authenticated internal scanning an explicit requirement (11.3.1.2).</w:t>
      </w:r>
    </w:p>
    <w:p>
      <w:pPr>
        <w:pStyle w:val="ListParagraph"/>
        <w:numPr>
          <w:ilvl w:val="0"/>
          <w:numId w:val="2"/>
        </w:numPr>
        <w:spacing w:after="80"/>
      </w:pPr>
      <w:r>
        <w:rPr>
          <w:sz w:val="21"/>
          <w:szCs w:val="21"/>
        </w:rPr>
        <w:t xml:space="preserve">Reconcile coverage against the inventory. </w:t>
      </w:r>
      <w:r>
        <w:rPr>
          <w:sz w:val="21"/>
          <w:szCs w:val="21"/>
        </w:rPr>
        <w:t xml:space="preserve">Export the scanner’s asset list and diff it against the inventory. Report the percentage of Tier 0/1 assets seen in the last cycle; anything missing is a coverage finding in its own right.</w:t>
      </w:r>
    </w:p>
    <w:p>
      <w:pPr>
        <w:pStyle w:val="ListParagraph"/>
        <w:numPr>
          <w:ilvl w:val="0"/>
          <w:numId w:val="2"/>
        </w:numPr>
        <w:spacing w:after="80"/>
      </w:pPr>
      <w:r>
        <w:rPr>
          <w:sz w:val="21"/>
          <w:szCs w:val="21"/>
        </w:rPr>
        <w:t xml:space="preserve">Fix the dedup key before ingest. </w:t>
      </w:r>
      <w:r>
        <w:rPr>
          <w:sz w:val="21"/>
          <w:szCs w:val="21"/>
        </w:rPr>
        <w:t xml:space="preserve">Findings collapse on asset + CVE/rule ID (Runbook §2). If asset names differ between scanner and inventory, dedup fails and the backlog doubles.</w:t>
      </w:r>
    </w:p>
    <w:p>
      <w:pPr>
        <w:pStyle w:val="ListParagraph"/>
        <w:numPr>
          <w:ilvl w:val="0"/>
          <w:numId w:val="2"/>
        </w:numPr>
        <w:spacing w:after="80"/>
      </w:pPr>
      <w:r>
        <w:rPr>
          <w:sz w:val="21"/>
          <w:szCs w:val="21"/>
        </w:rPr>
        <w:t xml:space="preserve">Tune before you trust. </w:t>
      </w:r>
      <w:r>
        <w:rPr>
          <w:sz w:val="21"/>
          <w:szCs w:val="21"/>
        </w:rPr>
        <w:t xml:space="preserve">Expect a false-positive flood the day a new source arrives. Suppress on evidence (validated, documented), never on convenience. Keep “informational” findings out of the metrics.</w:t>
      </w:r>
    </w:p>
    <w:p>
      <w:pPr>
        <w:pStyle w:val="ListParagraph"/>
        <w:numPr>
          <w:ilvl w:val="0"/>
          <w:numId w:val="2"/>
        </w:numPr>
        <w:spacing w:after="80"/>
      </w:pPr>
      <w:r>
        <w:rPr>
          <w:sz w:val="21"/>
          <w:szCs w:val="21"/>
        </w:rPr>
        <w:t xml:space="preserve">Map the export to the workbooks. </w:t>
      </w:r>
      <w:r>
        <w:rPr>
          <w:sz w:val="21"/>
          <w:szCs w:val="21"/>
        </w:rPr>
        <w:t xml:space="preserve">One column per field in §1; run a small batch through the Model and confirm priorities look right before bulk-loading.</w:t>
      </w:r>
    </w:p>
    <w:p>
      <w:pPr>
        <w:pStyle w:val="ListParagraph"/>
        <w:numPr>
          <w:ilvl w:val="0"/>
          <w:numId w:val="2"/>
        </w:numPr>
        <w:spacing w:after="80"/>
      </w:pPr>
      <w:r>
        <w:rPr>
          <w:sz w:val="21"/>
          <w:szCs w:val="21"/>
        </w:rPr>
        <w:t xml:space="preserve">Enrich with KEV and EPSS. </w:t>
      </w:r>
      <w:r>
        <w:rPr>
          <w:sz w:val="21"/>
          <w:szCs w:val="21"/>
        </w:rPr>
        <w:t xml:space="preserve">Use the tool’s flag if it is reliable; otherwise join to cisa.gov/kev and first.org/epss on CVE. The threat gate depends on this being current — refresh daily for Tier 0/1.</w:t>
      </w:r>
    </w:p>
    <w:p>
      <w:pPr>
        <w:pStyle w:val="ListParagraph"/>
        <w:numPr>
          <w:ilvl w:val="0"/>
          <w:numId w:val="2"/>
        </w:numPr>
        <w:spacing w:after="80"/>
      </w:pPr>
      <w:r>
        <w:rPr>
          <w:sz w:val="21"/>
          <w:szCs w:val="21"/>
        </w:rPr>
        <w:t xml:space="preserve">Tag for routing. </w:t>
      </w:r>
      <w:r>
        <w:rPr>
          <w:sz w:val="21"/>
          <w:szCs w:val="21"/>
        </w:rPr>
        <w:t xml:space="preserve">An owner/team attribute on every asset is what makes “assign” automatic. Add it in the inventory or the scanner before onboarding, not after.</w:t>
      </w:r>
    </w:p>
    <w:p>
      <w:pPr>
        <w:pStyle w:val="ListParagraph"/>
        <w:numPr>
          <w:ilvl w:val="0"/>
          <w:numId w:val="2"/>
        </w:numPr>
        <w:spacing w:after="80"/>
      </w:pPr>
      <w:r>
        <w:rPr>
          <w:sz w:val="21"/>
          <w:szCs w:val="21"/>
        </w:rPr>
        <w:t xml:space="preserve">Watch freshness. </w:t>
      </w:r>
      <w:r>
        <w:rPr>
          <w:sz w:val="21"/>
          <w:szCs w:val="21"/>
        </w:rPr>
        <w:t xml:space="preserve">A finding last seen 40 days ago on a weekly-scan asset means the scan is failing, not that the finding is gone.</w:t>
      </w:r>
    </w:p>
    <w:p>
      <w:pPr>
        <w:pBdr>
          <w:left w:val="single" w:color="C9A24B" w:sz="12" w:space="8"/>
        </w:pBdr>
        <w:spacing w:after="160" w:before="120"/>
        <w:ind w:left="360"/>
      </w:pPr>
      <w:r>
        <w:rPr>
          <w:b/>
          <w:bCs/>
          <w:i/>
          <w:iCs/>
          <w:color w:val="6B6B70"/>
          <w:sz w:val="20"/>
          <w:szCs w:val="20"/>
        </w:rPr>
        <w:t xml:space="preserve">Operator’s note — </w:t>
      </w:r>
      <w:r>
        <w:rPr>
          <w:i/>
          <w:iCs/>
          <w:color w:val="6B6B70"/>
          <w:sz w:val="20"/>
          <w:szCs w:val="20"/>
        </w:rPr>
        <w:t xml:space="preserve">Onboarding is where programs stall. The scanner produces numbers on day one; trustworthy numbers take weeks of tuning. Staff triage as a real job during that window (Runbook §2), and resist reporting coverage or MTTR to leadership until the reconciliation in step 3 is clean.</w:t>
      </w:r>
    </w:p>
    <w:p>
      <w:pPr>
        <w:pStyle w:val="Heading1"/>
      </w:pPr>
      <w:r>
        <w:t xml:space="preserve">3. Tool-specific notes</w:t>
      </w:r>
    </w:p>
    <w:p>
      <w:pPr>
        <w:spacing w:after="120"/>
      </w:pPr>
      <w:r>
        <w:rPr>
          <w:sz w:val="21"/>
          <w:szCs w:val="21"/>
        </w:rPr>
        <w:t xml:space="preserve">These describe how each tool’s output lines up with the program’s fields. Product UI labels and export columns change between releases — confirm against the vendor’s current documentation. And in every case: </w:t>
      </w:r>
      <w:r>
        <w:rPr>
          <w:b/>
          <w:bCs/>
          <w:sz w:val="21"/>
          <w:szCs w:val="21"/>
        </w:rPr>
        <w:t xml:space="preserve">do not import a vendor’s proprietary risk score as the Kit priority</w:t>
      </w:r>
      <w:r>
        <w:rPr>
          <w:sz w:val="21"/>
          <w:szCs w:val="21"/>
        </w:rPr>
        <w:t xml:space="preserve">. Feed CVSS, EPSS, KEV and exposure into the Model and let the program decide; that is what makes the decision defensible.</w:t>
      </w:r>
    </w:p>
    <w:p>
      <w:pPr>
        <w:pStyle w:val="Heading2"/>
      </w:pPr>
      <w:r>
        <w:t xml:space="preserve">Tenable (Nessus / Tenable Vulnerability Management)</w:t>
      </w:r>
    </w:p>
    <w:p>
      <w:pPr>
        <w:pStyle w:val="ListParagraph"/>
        <w:numPr>
          <w:ilvl w:val="0"/>
          <w:numId w:val="3"/>
        </w:numPr>
        <w:spacing w:after="80"/>
      </w:pPr>
      <w:r>
        <w:rPr>
          <w:sz w:val="21"/>
          <w:szCs w:val="21"/>
        </w:rPr>
        <w:t xml:space="preserve">Rule ID: the plugin ID. Dedup on asset + plugin (and CVE where present).</w:t>
      </w:r>
    </w:p>
    <w:p>
      <w:pPr>
        <w:pStyle w:val="ListParagraph"/>
        <w:numPr>
          <w:ilvl w:val="0"/>
          <w:numId w:val="3"/>
        </w:numPr>
        <w:spacing w:after="80"/>
      </w:pPr>
      <w:r>
        <w:rPr>
          <w:sz w:val="21"/>
          <w:szCs w:val="21"/>
        </w:rPr>
        <w:t xml:space="preserve">Supplies CVSS and its own VPR score; a CISA KEV attribute is available for filtering. Use CVSS + KEV; treat VPR as a cross-check, not the priority.</w:t>
      </w:r>
    </w:p>
    <w:p>
      <w:pPr>
        <w:pStyle w:val="ListParagraph"/>
        <w:numPr>
          <w:ilvl w:val="0"/>
          <w:numId w:val="3"/>
        </w:numPr>
        <w:spacing w:after="80"/>
      </w:pPr>
      <w:r>
        <w:rPr>
          <w:sz w:val="21"/>
          <w:szCs w:val="21"/>
        </w:rPr>
        <w:t xml:space="preserve">Nessus Agents give authenticated coverage without credential management on every host; use them for laptops and anything that leaves the network.</w:t>
      </w:r>
    </w:p>
    <w:p>
      <w:pPr>
        <w:pStyle w:val="ListParagraph"/>
        <w:numPr>
          <w:ilvl w:val="0"/>
          <w:numId w:val="3"/>
        </w:numPr>
        <w:spacing w:after="80"/>
      </w:pPr>
      <w:r>
        <w:rPr>
          <w:sz w:val="21"/>
          <w:szCs w:val="21"/>
        </w:rPr>
        <w:t xml:space="preserve">“Last seen” is the freshness field; plugin output is the validation evidence.</w:t>
      </w:r>
    </w:p>
    <w:p>
      <w:pPr>
        <w:pStyle w:val="Heading2"/>
      </w:pPr>
      <w:r>
        <w:t xml:space="preserve">Qualys VMDR</w:t>
      </w:r>
    </w:p>
    <w:p>
      <w:pPr>
        <w:pStyle w:val="ListParagraph"/>
        <w:numPr>
          <w:ilvl w:val="0"/>
          <w:numId w:val="3"/>
        </w:numPr>
        <w:spacing w:after="80"/>
      </w:pPr>
      <w:r>
        <w:rPr>
          <w:sz w:val="21"/>
          <w:szCs w:val="21"/>
        </w:rPr>
        <w:t xml:space="preserve">Rule ID: the QID. Dedup on asset + QID.</w:t>
      </w:r>
    </w:p>
    <w:p>
      <w:pPr>
        <w:pStyle w:val="ListParagraph"/>
        <w:numPr>
          <w:ilvl w:val="0"/>
          <w:numId w:val="3"/>
        </w:numPr>
        <w:spacing w:after="80"/>
      </w:pPr>
      <w:r>
        <w:rPr>
          <w:sz w:val="21"/>
          <w:szCs w:val="21"/>
        </w:rPr>
        <w:t xml:space="preserve">Supplies CVSS plus Qualys’ own risk scoring and threat-intelligence indicators, including known-exploited signals. Map CVSS and the known-exploited indicator; do not import the Qualys score as priority.</w:t>
      </w:r>
    </w:p>
    <w:p>
      <w:pPr>
        <w:pStyle w:val="ListParagraph"/>
        <w:numPr>
          <w:ilvl w:val="0"/>
          <w:numId w:val="3"/>
        </w:numPr>
        <w:spacing w:after="80"/>
      </w:pPr>
      <w:r>
        <w:rPr>
          <w:sz w:val="21"/>
          <w:szCs w:val="21"/>
        </w:rPr>
        <w:t xml:space="preserve">Cloud Agent for authenticated coverage; asset tags carry the owner and tier attributes the router needs.</w:t>
      </w:r>
    </w:p>
    <w:p>
      <w:pPr>
        <w:pStyle w:val="Heading2"/>
      </w:pPr>
      <w:r>
        <w:t xml:space="preserve">Rapid7 InsightVM</w:t>
      </w:r>
    </w:p>
    <w:p>
      <w:pPr>
        <w:pStyle w:val="ListParagraph"/>
        <w:numPr>
          <w:ilvl w:val="0"/>
          <w:numId w:val="3"/>
        </w:numPr>
        <w:spacing w:after="80"/>
      </w:pPr>
      <w:r>
        <w:rPr>
          <w:sz w:val="21"/>
          <w:szCs w:val="21"/>
        </w:rPr>
        <w:t xml:space="preserve">Supplies CVSS and Rapid7’s Real Risk score; exploit and malware-kit flags are useful exploit-likelihood inputs alongside EPSS.</w:t>
      </w:r>
    </w:p>
    <w:p>
      <w:pPr>
        <w:pStyle w:val="ListParagraph"/>
        <w:numPr>
          <w:ilvl w:val="0"/>
          <w:numId w:val="3"/>
        </w:numPr>
        <w:spacing w:after="80"/>
      </w:pPr>
      <w:r>
        <w:rPr>
          <w:sz w:val="21"/>
          <w:szCs w:val="21"/>
        </w:rPr>
        <w:t xml:space="preserve">Insight Agent for authenticated coverage; sites and tags for ownership routing.</w:t>
      </w:r>
    </w:p>
    <w:p>
      <w:pPr>
        <w:pStyle w:val="ListParagraph"/>
        <w:numPr>
          <w:ilvl w:val="0"/>
          <w:numId w:val="3"/>
        </w:numPr>
        <w:spacing w:after="80"/>
      </w:pPr>
      <w:r>
        <w:rPr>
          <w:sz w:val="21"/>
          <w:szCs w:val="21"/>
        </w:rPr>
        <w:t xml:space="preserve">Real Risk is a good sanity check against the Model’s composite but is not the program’s priority.</w:t>
      </w:r>
    </w:p>
    <w:p>
      <w:pPr>
        <w:pStyle w:val="Heading2"/>
      </w:pPr>
      <w:r>
        <w:t xml:space="preserve">Wiz</w:t>
      </w:r>
    </w:p>
    <w:p>
      <w:pPr>
        <w:pStyle w:val="ListParagraph"/>
        <w:numPr>
          <w:ilvl w:val="0"/>
          <w:numId w:val="3"/>
        </w:numPr>
        <w:spacing w:after="80"/>
      </w:pPr>
      <w:r>
        <w:rPr>
          <w:sz w:val="21"/>
          <w:szCs w:val="21"/>
        </w:rPr>
        <w:t xml:space="preserve">Agentless cloud coverage: workloads, containers, and cloud configuration. Pair it with a host scanner for on-premises estate.</w:t>
      </w:r>
    </w:p>
    <w:p>
      <w:pPr>
        <w:pStyle w:val="ListParagraph"/>
        <w:numPr>
          <w:ilvl w:val="0"/>
          <w:numId w:val="3"/>
        </w:numPr>
        <w:spacing w:after="80"/>
      </w:pPr>
      <w:r>
        <w:rPr>
          <w:sz w:val="21"/>
          <w:szCs w:val="21"/>
        </w:rPr>
        <w:t xml:space="preserve">Its exposure context (“exposed to the internet”, attack-path analysis) is exactly the Exposure factor — map it directly, and use it to validate your own exposure assumptions.</w:t>
      </w:r>
    </w:p>
    <w:p>
      <w:pPr>
        <w:pStyle w:val="ListParagraph"/>
        <w:numPr>
          <w:ilvl w:val="0"/>
          <w:numId w:val="3"/>
        </w:numPr>
        <w:spacing w:after="80"/>
      </w:pPr>
      <w:r>
        <w:rPr>
          <w:sz w:val="21"/>
          <w:szCs w:val="21"/>
        </w:rPr>
        <w:t xml:space="preserve">Projects and tags carry ownership; criticality still comes from your tiering, not from the tool.</w:t>
      </w:r>
    </w:p>
    <w:p>
      <w:pPr>
        <w:pStyle w:val="Heading2"/>
      </w:pPr>
      <w:r>
        <w:t xml:space="preserve">Snyk</w:t>
      </w:r>
    </w:p>
    <w:p>
      <w:pPr>
        <w:pStyle w:val="ListParagraph"/>
        <w:numPr>
          <w:ilvl w:val="0"/>
          <w:numId w:val="3"/>
        </w:numPr>
        <w:spacing w:after="80"/>
      </w:pPr>
      <w:r>
        <w:rPr>
          <w:sz w:val="21"/>
          <w:szCs w:val="21"/>
        </w:rPr>
        <w:t xml:space="preserve">The SCA source (Runbook §1): open-source, container, and infrastructure-as-code findings. CVE/CWE plus Snyk severity; “exploit maturity” (mature / proof-of-concept / none) is a strong exploit-likelihood input.</w:t>
      </w:r>
    </w:p>
    <w:p>
      <w:pPr>
        <w:pStyle w:val="ListParagraph"/>
        <w:numPr>
          <w:ilvl w:val="0"/>
          <w:numId w:val="3"/>
        </w:numPr>
        <w:spacing w:after="80"/>
      </w:pPr>
      <w:r>
        <w:rPr>
          <w:sz w:val="21"/>
          <w:szCs w:val="21"/>
        </w:rPr>
        <w:t xml:space="preserve">Dedup on package + version + vulnerability; results are per project, so map projects to assets and tiers before ingest.</w:t>
      </w:r>
    </w:p>
    <w:p>
      <w:pPr>
        <w:pStyle w:val="ListParagraph"/>
        <w:numPr>
          <w:ilvl w:val="0"/>
          <w:numId w:val="3"/>
        </w:numPr>
        <w:spacing w:after="80"/>
      </w:pPr>
      <w:r>
        <w:rPr>
          <w:sz w:val="21"/>
          <w:szCs w:val="21"/>
        </w:rPr>
        <w:t xml:space="preserve">Fixability (is there an upgrade path?) belongs in the remediation guidance the router attaches, not in the priority.</w:t>
      </w:r>
    </w:p>
    <w:p>
      <w:pPr>
        <w:pStyle w:val="Heading1"/>
      </w:pPr>
      <w:r>
        <w:t xml:space="preserve">4. Failure modes to expect</w:t>
      </w:r>
    </w:p>
    <w:p>
      <w:pPr>
        <w:pStyle w:val="ListParagraph"/>
        <w:numPr>
          <w:ilvl w:val="0"/>
          <w:numId w:val="3"/>
        </w:numPr>
        <w:spacing w:after="80"/>
      </w:pPr>
      <w:r>
        <w:rPr>
          <w:sz w:val="21"/>
          <w:szCs w:val="21"/>
        </w:rPr>
        <w:t xml:space="preserve">Unauthenticated-only scanning that quietly understates exposure on the assets that matter most.</w:t>
      </w:r>
    </w:p>
    <w:p>
      <w:pPr>
        <w:pStyle w:val="ListParagraph"/>
        <w:numPr>
          <w:ilvl w:val="0"/>
          <w:numId w:val="3"/>
        </w:numPr>
        <w:spacing w:after="80"/>
      </w:pPr>
      <w:r>
        <w:rPr>
          <w:sz w:val="21"/>
          <w:szCs w:val="21"/>
        </w:rPr>
        <w:t xml:space="preserve">Asset-name mismatch between scanner and inventory that breaks dedup and inflates the backlog.</w:t>
      </w:r>
    </w:p>
    <w:p>
      <w:pPr>
        <w:pStyle w:val="ListParagraph"/>
        <w:numPr>
          <w:ilvl w:val="0"/>
          <w:numId w:val="3"/>
        </w:numPr>
        <w:spacing w:after="80"/>
      </w:pPr>
      <w:r>
        <w:rPr>
          <w:sz w:val="21"/>
          <w:szCs w:val="21"/>
        </w:rPr>
        <w:t xml:space="preserve">Treating scanner severity or a vendor risk score as the program priority, which makes the decision indefensible.</w:t>
      </w:r>
    </w:p>
    <w:p>
      <w:pPr>
        <w:pStyle w:val="ListParagraph"/>
        <w:numPr>
          <w:ilvl w:val="0"/>
          <w:numId w:val="3"/>
        </w:numPr>
        <w:spacing w:after="80"/>
      </w:pPr>
      <w:r>
        <w:rPr>
          <w:sz w:val="21"/>
          <w:szCs w:val="21"/>
        </w:rPr>
        <w:t xml:space="preserve">Informational findings and unvalidated false positives polluting MTTR and backlog metrics.</w:t>
      </w:r>
    </w:p>
    <w:p>
      <w:pPr>
        <w:pStyle w:val="ListParagraph"/>
        <w:numPr>
          <w:ilvl w:val="0"/>
          <w:numId w:val="3"/>
        </w:numPr>
        <w:spacing w:after="80"/>
      </w:pPr>
      <w:r>
        <w:rPr>
          <w:sz w:val="21"/>
          <w:szCs w:val="21"/>
        </w:rPr>
        <w:t xml:space="preserve">No owner attribute on assets, so “assign” becomes a manual step and SLAs start late.</w:t>
      </w:r>
    </w:p>
    <w:p>
      <w:pPr>
        <w:spacing w:after="120"/>
      </w:pPr>
      <w:r>
        <w:rPr>
          <w:sz w:val="21"/>
          <w:szCs w:val="21"/>
        </w:rPr>
        <w:t xml:space="preserve"/>
      </w:r>
    </w:p>
    <w:p>
      <w:pPr>
        <w:spacing w:after="120"/>
      </w:pPr>
      <w:r>
        <w:rPr>
          <w:color w:val="6B6B70"/>
          <w:sz w:val="17"/>
          <w:szCs w:val="17"/>
        </w:rPr>
        <w:t xml:space="preserve">FlintScope VM Program Kit v1.2 (2026-10)  ·  Free to use and adapt inside your organization (CC BY-NC 4.0); client or resale use needs a commercial license  ·  flintscope.com/license.html  ·  support@flintscope.com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B6B70"/>
        <w:sz w:val="18"/>
        <w:szCs w:val="18"/>
      </w:rPr>
      <w:t xml:space="preserve">Scanner Onboarding Notes   ·   Page </w:t>
    </w:r>
    <w:r>
      <w:rPr>
        <w:color w:val="6B6B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6B6B70"/>
        <w:sz w:val="18"/>
        <w:szCs w:val="18"/>
      </w:rPr>
      <w:t xml:space="preserve">FlintScope · VM Program 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outlineLvl w:val="0"/>
    </w:pPr>
    <w:rPr>
      <w:rFonts w:ascii="Arial" w:cs="Arial" w:eastAsia="Arial" w:hAnsi="Arial"/>
      <w:b/>
      <w:bCs/>
      <w:color w:val="0F1620"/>
      <w:sz w:val="28"/>
      <w:szCs w:val="28"/>
    </w:rPr>
  </w:style>
  <w:style w:type="paragraph" w:styleId="Heading2">
    <w:name w:val="Heading 2"/>
    <w:basedOn w:val="Normal"/>
    <w:next w:val="Normal"/>
    <w:qFormat/>
    <w:pPr>
      <w:spacing w:after="100" w:before="220"/>
      <w:outlineLvl w:val="1"/>
    </w:pPr>
    <w:rPr>
      <w:rFonts w:ascii="Arial" w:cs="Arial" w:eastAsia="Arial" w:hAnsi="Arial"/>
      <w:b/>
      <w:bCs/>
      <w:color w:val="1B263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Scanner Onboarding Notes</dc:title>
  <dc:creator>FlintScope, LLC</dc:creator>
  <cp:lastModifiedBy>Un-named</cp:lastModifiedBy>
  <cp:revision>1</cp:revision>
  <dcterms:created xsi:type="dcterms:W3CDTF">2026-10-01T15:05:26.409Z</dcterms:created>
  <dcterms:modified xsi:type="dcterms:W3CDTF">2026-10-01T15:05:26.410Z</dcterms:modified>
</cp:coreProperties>
</file>

<file path=docProps/custom.xml><?xml version="1.0" encoding="utf-8"?>
<Properties xmlns="http://schemas.openxmlformats.org/officeDocument/2006/custom-properties" xmlns:vt="http://schemas.openxmlformats.org/officeDocument/2006/docPropsVTypes"/>
</file>