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
      </w:pPr>
      <w:r>
        <w:rPr>
          <w:rFonts w:ascii="Arial" w:cs="Arial" w:eastAsia="Arial" w:hAnsi="Arial"/>
          <w:b/>
          <w:bCs/>
          <w:color w:val="0F1620"/>
          <w:sz w:val="26"/>
          <w:szCs w:val="26"/>
        </w:rPr>
        <w:t xml:space="preserve">FlintScope</w:t>
      </w:r>
      <w:r>
        <w:rPr>
          <w:rFonts w:ascii="Arial" w:cs="Arial" w:eastAsia="Arial" w:hAnsi="Arial"/>
          <w:color w:val="5B6672"/>
          <w:sz w:val="20"/>
          <w:szCs w:val="20"/>
        </w:rPr>
        <w:t xml:space="preserve">  ·  Vulnerability Management Program Kit  ·  Kit v1.2 (2026-10)  ·  CC BY-NC 4.0  ·  flintscope.com/license.html</w:t>
      </w:r>
    </w:p>
    <w:p>
      <w:pPr>
        <w:pBdr>
          <w:bottom w:val="single" w:color="C9A24B" w:sz="10" w:space="6"/>
        </w:pBdr>
        <w:spacing w:after="260"/>
      </w:pPr>
      <w:r>
        <w:rPr>
          <w:rFonts w:ascii="Arial" w:cs="Arial" w:eastAsia="Arial" w:hAnsi="Arial"/>
        </w:rPr>
        <w:t xml:space="preserve"/>
      </w:r>
    </w:p>
    <w:p>
      <w:pPr>
        <w:spacing w:after="80"/>
      </w:pPr>
      <w:r>
        <w:rPr>
          <w:rFonts w:ascii="Arial" w:cs="Arial" w:eastAsia="Arial" w:hAnsi="Arial"/>
          <w:b/>
          <w:bCs/>
          <w:color w:val="0F1620"/>
          <w:sz w:val="44"/>
          <w:szCs w:val="44"/>
        </w:rPr>
        <w:t xml:space="preserve">Triage &amp; Remediation Runbook</w:t>
      </w:r>
    </w:p>
    <w:p>
      <w:pPr>
        <w:spacing w:after="240"/>
      </w:pPr>
      <w:r>
        <w:rPr>
          <w:rFonts w:ascii="Arial" w:cs="Arial" w:eastAsia="Arial" w:hAnsi="Arial"/>
          <w:color w:val="5B6672"/>
          <w:sz w:val="24"/>
          <w:szCs w:val="24"/>
        </w:rPr>
        <w:t xml:space="preserve">The operating procedure that turns raw findings into prioritized, closed work.</w:t>
      </w:r>
    </w:p>
    <w:p>
      <w:pPr>
        <w:spacing w:after="120"/>
      </w:pPr>
      <w:r>
        <w:rPr>
          <w:rFonts w:ascii="Arial" w:cs="Arial" w:eastAsia="Arial" w:hAnsi="Arial"/>
        </w:rPr>
        <w:t xml:space="preserve">This runbook is the operational companion to the Vulnerability Management Policy. The policy says what must happen; this runbook says how, step by step, from a finding arriving to it being closed and verified.</w:t>
      </w:r>
    </w:p>
    <w:p>
      <w:pPr>
        <w:spacing w:after="120"/>
      </w:pPr>
      <w:r>
        <w:rPr>
          <w:rFonts w:ascii="Arial" w:cs="Arial" w:eastAsia="Arial" w:hAnsi="Arial"/>
        </w:rPr>
        <w:t xml:space="preserve">Where the scoring lives. The Prioritization Model workbook is the thinking layer, not the queue. Paste a scanner export on its Import tab, map the columns once, and it scores, prioritizes, and reports. At scale, the same fields and the resulting priority belong in the ticket system (Jira, ServiceNow) as custom fields, so triage happens where the work is tracked. Keep the workbook to prove and tune the model, and for the monthly metrics conversation.</w:t>
      </w:r>
    </w:p>
    <w:p>
      <w:pPr>
        <w:pStyle w:val="Heading1"/>
        <w:pBdr>
          <w:bottom w:val="single" w:color="C9A24B" w:sz="6" w:space="4"/>
        </w:pBdr>
        <w:spacing w:after="140" w:before="280"/>
      </w:pPr>
      <w:r>
        <w:rPr>
          <w:rFonts w:ascii="Arial" w:cs="Arial" w:eastAsia="Arial" w:hAnsi="Arial"/>
          <w:b/>
          <w:bCs/>
          <w:color w:val="0F1620"/>
          <w:sz w:val="28"/>
          <w:szCs w:val="28"/>
        </w:rPr>
        <w:t xml:space="preserve">1. Inputs</w:t>
      </w:r>
    </w:p>
    <w:p>
      <w:pPr>
        <w:spacing w:after="120"/>
      </w:pPr>
      <w:r>
        <w:rPr>
          <w:rFonts w:ascii="Arial" w:cs="Arial" w:eastAsia="Arial" w:hAnsi="Arial"/>
        </w:rPr>
        <w:t xml:space="preserve">The triage queue is fed continuously from:</w:t>
      </w:r>
    </w:p>
    <w:p>
      <w:pPr>
        <w:pStyle w:val="ListParagraph"/>
        <w:numPr>
          <w:ilvl w:val="0"/>
          <w:numId w:val="2"/>
        </w:numPr>
        <w:spacing w:after="60"/>
      </w:pPr>
      <w:r>
        <w:rPr>
          <w:rFonts w:ascii="Arial" w:cs="Arial" w:eastAsia="Arial" w:hAnsi="Arial"/>
        </w:rPr>
        <w:t xml:space="preserve">Infrastructure, application, and cloud scanners;</w:t>
      </w:r>
    </w:p>
    <w:p>
      <w:pPr>
        <w:pStyle w:val="ListParagraph"/>
        <w:numPr>
          <w:ilvl w:val="0"/>
          <w:numId w:val="2"/>
        </w:numPr>
        <w:spacing w:after="60"/>
      </w:pPr>
      <w:r>
        <w:rPr>
          <w:rFonts w:ascii="Arial" w:cs="Arial" w:eastAsia="Arial" w:hAnsi="Arial"/>
        </w:rPr>
        <w:t xml:space="preserve">Software composition analysis (SCA);</w:t>
      </w:r>
    </w:p>
    <w:p>
      <w:pPr>
        <w:pStyle w:val="ListParagraph"/>
        <w:numPr>
          <w:ilvl w:val="0"/>
          <w:numId w:val="2"/>
        </w:numPr>
        <w:spacing w:after="60"/>
      </w:pPr>
      <w:r>
        <w:rPr>
          <w:rFonts w:ascii="Arial" w:cs="Arial" w:eastAsia="Arial" w:hAnsi="Arial"/>
        </w:rPr>
        <w:t xml:space="preserve">CISA KEV and EPSS feeds;</w:t>
      </w:r>
    </w:p>
    <w:p>
      <w:pPr>
        <w:pStyle w:val="ListParagraph"/>
        <w:numPr>
          <w:ilvl w:val="0"/>
          <w:numId w:val="2"/>
        </w:numPr>
        <w:spacing w:after="60"/>
      </w:pPr>
      <w:r>
        <w:rPr>
          <w:rFonts w:ascii="Arial" w:cs="Arial" w:eastAsia="Arial" w:hAnsi="Arial"/>
        </w:rPr>
        <w:t xml:space="preserve">Penetration tests and responsible-disclosure / bug-bounty reports.</w:t>
      </w:r>
    </w:p>
    <w:p>
      <w:pPr>
        <w:pStyle w:val="Heading1"/>
        <w:pBdr>
          <w:bottom w:val="single" w:color="C9A24B" w:sz="6" w:space="4"/>
        </w:pBdr>
        <w:spacing w:after="140" w:before="280"/>
      </w:pPr>
      <w:r>
        <w:rPr>
          <w:rFonts w:ascii="Arial" w:cs="Arial" w:eastAsia="Arial" w:hAnsi="Arial"/>
          <w:b/>
          <w:bCs/>
          <w:color w:val="0F1620"/>
          <w:sz w:val="28"/>
          <w:szCs w:val="28"/>
        </w:rPr>
        <w:t xml:space="preserve">2. Triage Workflow</w:t>
      </w:r>
    </w:p>
    <w:p>
      <w:pPr>
        <w:spacing w:after="120"/>
      </w:pPr>
      <w:r>
        <w:rPr>
          <w:rFonts w:ascii="Arial" w:cs="Arial" w:eastAsia="Arial" w:hAnsi="Arial"/>
        </w:rPr>
        <w:t xml:space="preserve">Run on every new or changed finding. Target: complete triage within one business day for Tier 0/1 assets.</w:t>
      </w:r>
    </w:p>
    <w:p>
      <w:pPr>
        <w:pStyle w:val="ListParagraph"/>
        <w:numPr>
          <w:ilvl w:val="0"/>
          <w:numId w:val="3"/>
        </w:numPr>
        <w:spacing w:after="80"/>
      </w:pPr>
      <w:r>
        <w:rPr>
          <w:rFonts w:ascii="Arial" w:cs="Arial" w:eastAsia="Arial" w:hAnsi="Arial"/>
        </w:rPr>
        <w:t xml:space="preserve">Deduplicate. Collapse the finding against existing records by asset + CVE / rule ID. Link, don't duplicate.</w:t>
      </w:r>
    </w:p>
    <w:p>
      <w:pPr>
        <w:pStyle w:val="ListParagraph"/>
        <w:numPr>
          <w:ilvl w:val="0"/>
          <w:numId w:val="3"/>
        </w:numPr>
        <w:spacing w:after="80"/>
      </w:pPr>
      <w:r>
        <w:rPr>
          <w:rFonts w:ascii="Arial" w:cs="Arial" w:eastAsia="Arial" w:hAnsi="Arial"/>
        </w:rPr>
        <w:t xml:space="preserve">Validate. Confirm the finding is real and reachable; mark suspected false positives for review and evidence them.</w:t>
      </w:r>
    </w:p>
    <w:p>
      <w:pPr>
        <w:pStyle w:val="ListParagraph"/>
        <w:numPr>
          <w:ilvl w:val="0"/>
          <w:numId w:val="3"/>
        </w:numPr>
        <w:spacing w:after="80"/>
      </w:pPr>
      <w:r>
        <w:rPr>
          <w:rFonts w:ascii="Arial" w:cs="Arial" w:eastAsia="Arial" w:hAnsi="Arial"/>
        </w:rPr>
        <w:t xml:space="preserve">Enrich. Attach the data the model needs: CVSS, EPSS, KEV status / known exploitation, asset criticality tier, and exposure (internet-facing → isolated).</w:t>
      </w:r>
    </w:p>
    <w:p>
      <w:pPr>
        <w:pStyle w:val="ListParagraph"/>
        <w:numPr>
          <w:ilvl w:val="0"/>
          <w:numId w:val="3"/>
        </w:numPr>
        <w:spacing w:after="80"/>
      </w:pPr>
      <w:r>
        <w:rPr>
          <w:rFonts w:ascii="Arial" w:cs="Arial" w:eastAsia="Arial" w:hAnsi="Arial"/>
        </w:rPr>
        <w:t xml:space="preserve">Score. Apply the two-stage model from the Prioritization Model worksheet — threat gate first, then composite score — to assign P1–P4 and the SLA due date.</w:t>
      </w:r>
    </w:p>
    <w:p>
      <w:pPr>
        <w:pStyle w:val="ListParagraph"/>
        <w:numPr>
          <w:ilvl w:val="0"/>
          <w:numId w:val="3"/>
        </w:numPr>
        <w:spacing w:after="80"/>
      </w:pPr>
      <w:r>
        <w:rPr>
          <w:rFonts w:ascii="Arial" w:cs="Arial" w:eastAsia="Arial" w:hAnsi="Arial"/>
        </w:rPr>
        <w:t xml:space="preserve">Assign. Route to the accountable owner (Section 4) with the priority, due date, and remediation guidance.</w:t>
      </w:r>
    </w:p>
    <w:p>
      <w:r>
        <w:rPr>
          <w:b/>
          <w:i/>
          <w:color w:val="595959"/>
          <w:sz w:val="18"/>
        </w:rPr>
        <w:t xml:space="preserve">Operator's note — </w:t>
      </w:r>
      <w:r>
        <w:rPr>
          <w:i/>
          <w:color w:val="595959"/>
          <w:sz w:val="18"/>
        </w:rPr>
        <w:t>at scale, the scoring model is not what breaks — validation is. Expect false positives to flood the queue the day you add a new source, and treat the one-business-day target for Tier 0/1 as something you earn by tuning scanners, not something you meet on day one. Staff triage as a real job, not a side task.</w:t>
      </w:r>
    </w:p>
    <w:p>
      <w:pPr>
        <w:pStyle w:val="Heading1"/>
        <w:pBdr>
          <w:bottom w:val="single" w:color="C9A24B" w:sz="6" w:space="4"/>
        </w:pBdr>
        <w:spacing w:after="140" w:before="280"/>
      </w:pPr>
      <w:r>
        <w:rPr>
          <w:rFonts w:ascii="Arial" w:cs="Arial" w:eastAsia="Arial" w:hAnsi="Arial"/>
          <w:b/>
          <w:bCs/>
          <w:color w:val="0F1620"/>
          <w:sz w:val="28"/>
          <w:szCs w:val="28"/>
        </w:rPr>
        <w:t xml:space="preserve">3. Prioritization (Apply the Model)</w:t>
      </w:r>
    </w:p>
    <w:p>
      <w:pPr>
        <w:spacing w:after="120"/>
      </w:pPr>
      <w:r>
        <w:rPr>
          <w:rFonts w:ascii="Arial" w:cs="Arial" w:eastAsia="Arial" w:hAnsi="Arial"/>
        </w:rPr>
        <w:t xml:space="preserve">Triage does not debate priority subjectively — it applies the model:</w:t>
      </w:r>
    </w:p>
    <w:p>
      <w:pPr>
        <w:pStyle w:val="ListParagraph"/>
        <w:numPr>
          <w:ilvl w:val="0"/>
          <w:numId w:val="2"/>
        </w:numPr>
        <w:spacing w:after="60"/>
      </w:pPr>
      <w:r>
        <w:rPr>
          <w:rFonts w:ascii="Arial" w:cs="Arial" w:eastAsia="Arial" w:hAnsi="Arial"/>
        </w:rPr>
        <w:t xml:space="preserve">Threat gate → P1: internet-facing and on KEV, actively exploited, or EPSS ≥ gate threshold;</w:t>
      </w:r>
    </w:p>
    <w:p>
      <w:pPr>
        <w:pStyle w:val="ListParagraph"/>
        <w:numPr>
          <w:ilvl w:val="0"/>
          <w:numId w:val="2"/>
        </w:numPr>
        <w:spacing w:after="60"/>
      </w:pPr>
      <w:r>
        <w:rPr>
          <w:rFonts w:ascii="Arial" w:cs="Arial" w:eastAsia="Arial" w:hAnsi="Arial"/>
        </w:rPr>
        <w:t xml:space="preserve">Otherwise compute the composite of Severity × Exploit Likelihood × Asset Criticality × Exposure and map to P1–P4. KEV or active exploitation sets Exploit Likelihood to its maximum, so an exploited finding that is not internet-facing is ranked by exposure and asset criticality;</w:t>
      </w:r>
    </w:p>
    <w:p>
      <w:pPr>
        <w:pStyle w:val="ListParagraph"/>
        <w:numPr>
          <w:ilvl w:val="0"/>
          <w:numId w:val="2"/>
        </w:numPr>
        <w:spacing w:after="60"/>
      </w:pPr>
      <w:r>
        <w:rPr>
          <w:rFonts w:ascii="Arial" w:cs="Arial" w:eastAsia="Arial" w:hAnsi="Arial"/>
        </w:rPr>
        <w:t>Apply a one-tier reduction only where a documented compensating control materially reduces exploitability. The reduction never applies to threat-gate P1s — the gate wins.</w:t>
      </w:r>
    </w:p>
    <w:p>
      <w:pPr>
        <w:spacing w:after="120"/>
      </w:pPr>
      <w:r>
        <w:rPr>
          <w:rFonts w:ascii="Arial" w:cs="Arial" w:eastAsia="Arial" w:hAnsi="Arial"/>
          <w:i/>
          <w:iCs/>
          <w:color w:val="5B6672"/>
          <w:sz w:val="18"/>
          <w:szCs w:val="18"/>
        </w:rPr>
        <w:t xml:space="preserve">The priority and its inputs are recorded on the finding so the decision is auditable.</w:t>
      </w:r>
    </w:p>
    <w:p>
      <w:pPr>
        <w:pStyle w:val="Heading1"/>
        <w:pBdr>
          <w:bottom w:val="single" w:color="C9A24B" w:sz="6" w:space="4"/>
        </w:pBdr>
        <w:spacing w:after="140" w:before="280"/>
      </w:pPr>
      <w:r>
        <w:rPr>
          <w:rFonts w:ascii="Arial" w:cs="Arial" w:eastAsia="Arial" w:hAnsi="Arial"/>
          <w:b/>
          <w:bCs/>
          <w:color w:val="0F1620"/>
          <w:sz w:val="28"/>
          <w:szCs w:val="28"/>
        </w:rPr>
        <w:t xml:space="preserve">4. Routing &amp; Ownership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360"/>
        <w:gridCol w:w="3000"/>
      </w:tblGrid>
      <w:tr>
        <w:trPr>
          <w:tblHeader/>
        </w:trPr>
        <w:tc>
          <w:tcPr>
            <w:tcW w:type="dxa" w:w="30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Finding type</w:t>
            </w:r>
          </w:p>
        </w:tc>
        <w:tc>
          <w:tcPr>
            <w:tcW w:type="dxa" w:w="336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Accountable owner</w:t>
            </w:r>
          </w:p>
        </w:tc>
        <w:tc>
          <w:tcPr>
            <w:tcW w:type="dxa" w:w="30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Security role</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Application / code</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Owning engineering team</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Consulted — guidance, verification</w:t>
            </w:r>
          </w:p>
        </w:tc>
      </w:tr>
      <w:tr>
        <w:tc>
          <w:tcPr>
            <w:tcW w:type="dxa" w:w="30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Infrastructure / OS</w:t>
            </w:r>
          </w:p>
        </w:tc>
        <w:tc>
          <w:tcPr>
            <w:tcW w:type="dxa" w:w="336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Platform / IT operations</w:t>
            </w:r>
          </w:p>
        </w:tc>
        <w:tc>
          <w:tcPr>
            <w:tcW w:type="dxa" w:w="30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Consulted — guidance, verification</w:t>
            </w:r>
          </w:p>
        </w:tc>
      </w:tr>
      <w:tr>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Cloud configuration</w:t>
            </w:r>
          </w:p>
        </w:tc>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Cloud / platform team</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Consulted — guidance, verification</w:t>
            </w:r>
          </w:p>
        </w:tc>
      </w:tr>
      <w:tr>
        <w:tc>
          <w:tcPr>
            <w:tcW w:type="dxa" w:w="30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Third-party / vendor system</w:t>
            </w:r>
          </w:p>
        </w:tc>
        <w:tc>
          <w:tcPr>
            <w:tcW w:type="dxa" w:w="336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Vendor manager + Security</w:t>
            </w:r>
          </w:p>
        </w:tc>
        <w:tc>
          <w:tcPr>
            <w:tcW w:type="dxa" w:w="30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Responsible — coordinates with vendor</w:t>
            </w:r>
          </w:p>
        </w:tc>
      </w:tr>
    </w:tbl>
    <w:p>
      <w:pPr>
        <w:pStyle w:val="Heading1"/>
        <w:pBdr>
          <w:bottom w:val="single" w:color="C9A24B" w:sz="6" w:space="4"/>
        </w:pBdr>
        <w:spacing w:after="140" w:before="280"/>
      </w:pPr>
      <w:r>
        <w:rPr>
          <w:rFonts w:ascii="Arial" w:cs="Arial" w:eastAsia="Arial" w:hAnsi="Arial"/>
          <w:b/>
          <w:bCs/>
          <w:color w:val="0F1620"/>
          <w:sz w:val="28"/>
          <w:szCs w:val="28"/>
        </w:rPr>
        <w:t xml:space="preserve">5. Remediation Paths</w:t>
      </w:r>
    </w:p>
    <w:p>
      <w:pPr>
        <w:spacing w:after="120"/>
      </w:pPr>
      <w:r>
        <w:rPr>
          <w:rFonts w:ascii="Arial" w:cs="Arial" w:eastAsia="Arial" w:hAnsi="Arial"/>
        </w:rPr>
        <w:t xml:space="preserve">The owner resolves each finding by one of:</w:t>
      </w:r>
    </w:p>
    <w:p>
      <w:pPr>
        <w:pStyle w:val="ListParagraph"/>
        <w:numPr>
          <w:ilvl w:val="0"/>
          <w:numId w:val="2"/>
        </w:numPr>
        <w:spacing w:after="60"/>
      </w:pPr>
      <w:r>
        <w:rPr>
          <w:rFonts w:ascii="Arial" w:cs="Arial" w:eastAsia="Arial" w:hAnsi="Arial"/>
        </w:rPr>
        <w:t xml:space="preserve">Remediate — patch, upgrade, or reconfigure to eliminate the vulnerability (preferred);</w:t>
      </w:r>
    </w:p>
    <w:p>
      <w:pPr>
        <w:pStyle w:val="ListParagraph"/>
        <w:numPr>
          <w:ilvl w:val="0"/>
          <w:numId w:val="2"/>
        </w:numPr>
        <w:spacing w:after="60"/>
      </w:pPr>
      <w:r>
        <w:rPr>
          <w:rFonts w:ascii="Arial" w:cs="Arial" w:eastAsia="Arial" w:hAnsi="Arial"/>
        </w:rPr>
        <w:t xml:space="preserve">Mitigate — apply a compensating control (e.g., WAF rule, network restriction, feature disablement) that reduces exploitability while a permanent fix is scheduled;</w:t>
      </w:r>
    </w:p>
    <w:p>
      <w:pPr>
        <w:pStyle w:val="ListParagraph"/>
        <w:numPr>
          <w:ilvl w:val="0"/>
          <w:numId w:val="2"/>
        </w:numPr>
        <w:spacing w:after="60"/>
      </w:pPr>
      <w:r>
        <w:rPr>
          <w:rFonts w:ascii="Arial" w:cs="Arial" w:eastAsia="Arial" w:hAnsi="Arial"/>
        </w:rPr>
        <w:t xml:space="preserve">Accept — formally accept residual risk via the exception process (Section 7) when neither remediation nor mitigation is feasible within SLA.</w:t>
      </w:r>
    </w:p>
    <w:p>
      <w:pPr>
        <w:pStyle w:val="Heading1"/>
        <w:pBdr>
          <w:bottom w:val="single" w:color="C9A24B" w:sz="6" w:space="4"/>
        </w:pBdr>
        <w:spacing w:after="140" w:before="280"/>
      </w:pPr>
      <w:r>
        <w:rPr>
          <w:rFonts w:ascii="Arial" w:cs="Arial" w:eastAsia="Arial" w:hAnsi="Arial"/>
          <w:b/>
          <w:bCs/>
          <w:color w:val="0F1620"/>
          <w:sz w:val="28"/>
          <w:szCs w:val="28"/>
        </w:rPr>
        <w:t xml:space="preserve">6. Verification &amp; Closure</w:t>
      </w:r>
    </w:p>
    <w:p>
      <w:pPr>
        <w:pStyle w:val="ListParagraph"/>
        <w:numPr>
          <w:ilvl w:val="0"/>
          <w:numId w:val="4"/>
        </w:numPr>
        <w:spacing w:after="80"/>
      </w:pPr>
      <w:r>
        <w:rPr>
          <w:rFonts w:ascii="Arial" w:cs="Arial" w:eastAsia="Arial" w:hAnsi="Arial"/>
        </w:rPr>
        <w:t xml:space="preserve">Confirm the fix via re-scan or targeted test against the original evidence.</w:t>
      </w:r>
    </w:p>
    <w:p>
      <w:pPr>
        <w:pStyle w:val="ListParagraph"/>
        <w:numPr>
          <w:ilvl w:val="0"/>
          <w:numId w:val="4"/>
        </w:numPr>
        <w:spacing w:after="80"/>
      </w:pPr>
      <w:r>
        <w:rPr>
          <w:rFonts w:ascii="Arial" w:cs="Arial" w:eastAsia="Arial" w:hAnsi="Arial"/>
        </w:rPr>
        <w:t xml:space="preserve">For P1/P2, verification is performed or reviewed by Security, not closed solely by the owner.</w:t>
      </w:r>
    </w:p>
    <w:p>
      <w:pPr>
        <w:pStyle w:val="ListParagraph"/>
        <w:numPr>
          <w:ilvl w:val="0"/>
          <w:numId w:val="4"/>
        </w:numPr>
        <w:spacing w:after="80"/>
      </w:pPr>
      <w:r>
        <w:rPr>
          <w:rFonts w:ascii="Arial" w:cs="Arial" w:eastAsia="Arial" w:hAnsi="Arial"/>
        </w:rPr>
        <w:t xml:space="preserve">Record closure date and method; the system computes time-to-remediate against the SLA.</w:t>
      </w:r>
    </w:p>
    <w:p>
      <w:pPr>
        <w:pStyle w:val="ListParagraph"/>
        <w:numPr>
          <w:ilvl w:val="0"/>
          <w:numId w:val="4"/>
        </w:numPr>
        <w:spacing w:after="80"/>
      </w:pPr>
      <w:r>
        <w:rPr>
          <w:rFonts w:ascii="Arial" w:cs="Arial" w:eastAsia="Arial" w:hAnsi="Arial"/>
        </w:rPr>
        <w:t xml:space="preserve">If verification fails, reopen the finding and reset the clock with an escalation note.</w:t>
      </w:r>
    </w:p>
    <w:p>
      <w:pPr>
        <w:pStyle w:val="Heading1"/>
        <w:pBdr>
          <w:bottom w:val="single" w:color="C9A24B" w:sz="6" w:space="4"/>
        </w:pBdr>
        <w:spacing w:after="140" w:before="280"/>
      </w:pPr>
      <w:r>
        <w:rPr>
          <w:rFonts w:ascii="Arial" w:cs="Arial" w:eastAsia="Arial" w:hAnsi="Arial"/>
          <w:b/>
          <w:bCs/>
          <w:color w:val="0F1620"/>
          <w:sz w:val="28"/>
          <w:szCs w:val="28"/>
        </w:rPr>
        <w:t xml:space="preserve">7. Exceptions &amp; Risk Acceptance</w:t>
      </w:r>
    </w:p>
    <w:p>
      <w:pPr>
        <w:spacing w:after="120"/>
      </w:pPr>
      <w:r>
        <w:rPr>
          <w:rFonts w:ascii="Arial" w:cs="Arial" w:eastAsia="Arial" w:hAnsi="Arial"/>
        </w:rPr>
        <w:t xml:space="preserve">When a finding cannot be closed within SLA:</w:t>
      </w:r>
    </w:p>
    <w:p>
      <w:pPr>
        <w:pStyle w:val="ListParagraph"/>
        <w:numPr>
          <w:ilvl w:val="0"/>
          <w:numId w:val="2"/>
        </w:numPr>
        <w:spacing w:after="60"/>
      </w:pPr>
      <w:r>
        <w:rPr>
          <w:rFonts w:ascii="Arial" w:cs="Arial" w:eastAsia="Arial" w:hAnsi="Arial"/>
        </w:rPr>
        <w:t xml:space="preserve">The owner submits an exception: finding, business reason, compensating controls, residual-risk rating, and expiry date;</w:t>
      </w:r>
    </w:p>
    <w:p>
      <w:pPr>
        <w:pStyle w:val="ListParagraph"/>
        <w:numPr>
          <w:ilvl w:val="0"/>
          <w:numId w:val="2"/>
        </w:numPr>
        <w:spacing w:after="60"/>
      </w:pPr>
      <w:r>
        <w:rPr>
          <w:rFonts w:ascii="Arial" w:cs="Arial" w:eastAsia="Arial" w:hAnsi="Arial"/>
        </w:rPr>
        <w:t xml:space="preserve">P1/P2 exceptions require executive-sponsor approval; P3/P4 require asset-owner approval with Security consulted;</w:t>
      </w:r>
    </w:p>
    <w:p>
      <w:pPr>
        <w:pStyle w:val="ListParagraph"/>
        <w:numPr>
          <w:ilvl w:val="0"/>
          <w:numId w:val="2"/>
        </w:numPr>
        <w:spacing w:after="60"/>
      </w:pPr>
      <w:r>
        <w:rPr>
          <w:rFonts w:ascii="Arial" w:cs="Arial" w:eastAsia="Arial" w:hAnsi="Arial"/>
        </w:rPr>
        <w:t xml:space="preserve">Exceptions are time-bound and reviewed at or before expiry; on expiry the finding reverts to an open SLA breach.</w:t>
      </w:r>
    </w:p>
    <w:p>
      <w:pPr>
        <w:pStyle w:val="Heading1"/>
        <w:pBdr>
          <w:bottom w:val="single" w:color="C9A24B" w:sz="6" w:space="4"/>
        </w:pBdr>
        <w:spacing w:after="140" w:before="280"/>
      </w:pPr>
      <w:r>
        <w:rPr>
          <w:rFonts w:ascii="Arial" w:cs="Arial" w:eastAsia="Arial" w:hAnsi="Arial"/>
          <w:b/>
          <w:bCs/>
          <w:color w:val="0F1620"/>
          <w:sz w:val="28"/>
          <w:szCs w:val="28"/>
        </w:rPr>
        <w:t xml:space="preserve">8. Escalation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4160"/>
        <w:gridCol w:w="1800"/>
      </w:tblGrid>
      <w:tr>
        <w:trPr>
          <w:tblHeader/>
        </w:trPr>
        <w:tc>
          <w:tcPr>
            <w:tcW w:type="dxa" w:w="34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Trigger</w:t>
            </w:r>
          </w:p>
        </w:tc>
        <w:tc>
          <w:tcPr>
            <w:tcW w:type="dxa" w:w="416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Action</w:t>
            </w:r>
          </w:p>
        </w:tc>
        <w:tc>
          <w:tcPr>
            <w:tcW w:type="dxa" w:w="18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Within</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P1 — actively exploited, internet-facing</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Notify Security lead + asset owner + executive sponsor; begin remediation / mitigation immediately</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Immediately</w:t>
            </w:r>
          </w:p>
        </w:tc>
      </w:tr>
      <w:tr>
        <w:tc>
          <w:tcPr>
            <w:tcW w:type="dxa" w:w="34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P1 SLA at risk</w:t>
            </w:r>
          </w:p>
        </w:tc>
        <w:tc>
          <w:tcPr>
            <w:tcW w:type="dxa" w:w="416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Escalate to engineering lead and Security lead</w:t>
            </w:r>
          </w:p>
        </w:tc>
        <w:tc>
          <w:tcPr>
            <w:tcW w:type="dxa" w:w="18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Before due date</w:t>
            </w:r>
          </w:p>
        </w:tc>
      </w:tr>
      <w:tr>
        <w:tc>
          <w:tcPr>
            <w:tcW w:type="dxa" w:w="34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P2 SLA breached</w:t>
            </w:r>
          </w:p>
        </w:tc>
        <w:tc>
          <w:tcPr>
            <w:tcW w:type="dxa" w:w="41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Escalate to asset owner's manager</w:t>
            </w:r>
          </w:p>
        </w:tc>
        <w:tc>
          <w:tcPr>
            <w:tcW w:type="dxa" w:w="18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At breach</w:t>
            </w:r>
          </w:p>
        </w:tc>
      </w:tr>
      <w:tr>
        <w:tc>
          <w:tcPr>
            <w:tcW w:type="dxa" w:w="34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Repeated breaches / expired exception</w:t>
            </w:r>
          </w:p>
        </w:tc>
        <w:tc>
          <w:tcPr>
            <w:tcW w:type="dxa" w:w="416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Escalate to executive sponsor</w:t>
            </w:r>
          </w:p>
        </w:tc>
        <w:tc>
          <w:tcPr>
            <w:tcW w:type="dxa" w:w="18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Next report cycle</w:t>
            </w:r>
          </w:p>
        </w:tc>
      </w:tr>
    </w:tbl>
    <w:p>
      <w:pPr>
        <w:pStyle w:val="Heading1"/>
        <w:pBdr>
          <w:bottom w:val="single" w:color="C9A24B" w:sz="6" w:space="4"/>
        </w:pBdr>
        <w:spacing w:after="140" w:before="280"/>
      </w:pPr>
      <w:r>
        <w:rPr>
          <w:rFonts w:ascii="Arial" w:cs="Arial" w:eastAsia="Arial" w:hAnsi="Arial"/>
          <w:b/>
          <w:bCs/>
          <w:color w:val="0F1620"/>
          <w:sz w:val="28"/>
          <w:szCs w:val="28"/>
        </w:rPr>
        <w:t xml:space="preserve">9. Worked Example</w:t>
      </w:r>
    </w:p>
    <w:p>
      <w:pPr>
        <w:spacing w:after="120"/>
      </w:pPr>
      <w:r>
        <w:rPr>
          <w:rFonts w:ascii="Arial" w:cs="Arial" w:eastAsia="Arial" w:hAnsi="Arial"/>
          <w:b/>
          <w:bCs/>
        </w:rPr>
        <w:t xml:space="preserve">A scanner reports CVE-2026-0455, CVSS 7.5, on a customer-facing API (Tier 1, internet-facing). Enrichment shows it is on CISA KEV with EPSS 0.94.</w:t>
      </w:r>
    </w:p>
    <w:p>
      <w:pPr>
        <w:pStyle w:val="ListParagraph"/>
        <w:numPr>
          <w:ilvl w:val="0"/>
          <w:numId w:val="5"/>
        </w:numPr>
        <w:spacing w:after="80"/>
      </w:pPr>
      <w:r>
        <w:rPr>
          <w:rFonts w:ascii="Arial" w:cs="Arial" w:eastAsia="Arial" w:hAnsi="Arial"/>
        </w:rPr>
        <w:t xml:space="preserve">Deduplicate: no existing record — create one.</w:t>
      </w:r>
    </w:p>
    <w:p>
      <w:pPr>
        <w:pStyle w:val="ListParagraph"/>
        <w:numPr>
          <w:ilvl w:val="0"/>
          <w:numId w:val="5"/>
        </w:numPr>
        <w:spacing w:after="80"/>
      </w:pPr>
      <w:r>
        <w:rPr>
          <w:rFonts w:ascii="Arial" w:cs="Arial" w:eastAsia="Arial" w:hAnsi="Arial"/>
        </w:rPr>
        <w:t xml:space="preserve">Validate: confirmed reachable on the production API.</w:t>
      </w:r>
    </w:p>
    <w:p>
      <w:pPr>
        <w:pStyle w:val="ListParagraph"/>
        <w:numPr>
          <w:ilvl w:val="0"/>
          <w:numId w:val="5"/>
        </w:numPr>
        <w:spacing w:after="80"/>
      </w:pPr>
      <w:r>
        <w:rPr>
          <w:rFonts w:ascii="Arial" w:cs="Arial" w:eastAsia="Arial" w:hAnsi="Arial"/>
        </w:rPr>
        <w:t xml:space="preserve">Enrich: CVSS 7.5, EPSS 0.94, KEV = yes, Tier 1, internet-facing.</w:t>
      </w:r>
    </w:p>
    <w:p>
      <w:pPr>
        <w:pStyle w:val="ListParagraph"/>
        <w:numPr>
          <w:ilvl w:val="0"/>
          <w:numId w:val="5"/>
        </w:numPr>
        <w:spacing w:after="80"/>
      </w:pPr>
      <w:r>
        <w:rPr>
          <w:rFonts w:ascii="Arial" w:cs="Arial" w:eastAsia="Arial" w:hAnsi="Arial"/>
        </w:rPr>
        <w:t xml:space="preserve">Score: Stage-1 threat gate fires (KEV + actively exploited + internet-facing) → P1, 24-hour SLA.</w:t>
      </w:r>
    </w:p>
    <w:p>
      <w:pPr>
        <w:pStyle w:val="ListParagraph"/>
        <w:numPr>
          <w:ilvl w:val="0"/>
          <w:numId w:val="5"/>
        </w:numPr>
        <w:spacing w:after="80"/>
      </w:pPr>
      <w:r>
        <w:rPr>
          <w:rFonts w:ascii="Arial" w:cs="Arial" w:eastAsia="Arial" w:hAnsi="Arial"/>
        </w:rPr>
        <w:t xml:space="preserve">Assign &amp; act: routed to the API team; compensating WAF rule applied within hours; patch deployed and verified by Security within the day.</w:t>
      </w:r>
    </w:p>
    <w:p>
      <w:pPr>
        <w:spacing w:after="120"/>
      </w:pPr>
      <w:r>
        <w:rPr>
          <w:rFonts w:ascii="Arial" w:cs="Arial" w:eastAsia="Arial" w:hAnsi="Arial"/>
          <w:i/>
          <w:iCs/>
          <w:color w:val="5B6672"/>
          <w:sz w:val="18"/>
          <w:szCs w:val="18"/>
        </w:rPr>
        <w:t xml:space="preserve">A CVSS 9.1 on an isolated Tier-3 lab host with EPSS 0.004 would, by contrast, score P4 — correctly losing the queue to the exploited 7.5.</w:t>
      </w:r>
    </w:p>
    <w:p>
      <w:pPr>
        <w:pStyle w:val="Heading1"/>
        <w:pBdr>
          <w:bottom w:val="single" w:color="C9A24B" w:sz="6" w:space="4"/>
        </w:pBdr>
        <w:spacing w:after="140" w:before="280"/>
      </w:pPr>
      <w:r>
        <w:rPr>
          <w:rFonts w:ascii="Arial" w:cs="Arial" w:eastAsia="Arial" w:hAnsi="Arial"/>
          <w:b/>
          <w:bCs/>
          <w:color w:val="0F1620"/>
          <w:sz w:val="28"/>
          <w:szCs w:val="28"/>
        </w:rPr>
        <w:t xml:space="preserve">10. Quick Reference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2400"/>
        <w:gridCol w:w="2600"/>
      </w:tblGrid>
      <w:tr>
        <w:trPr>
          <w:tblHeader/>
        </w:trPr>
        <w:tc>
          <w:tcPr>
            <w:tcW w:type="dxa" w:w="436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Step</w:t>
            </w:r>
          </w:p>
        </w:tc>
        <w:tc>
          <w:tcPr>
            <w:tcW w:type="dxa" w:w="24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Owner</w:t>
            </w:r>
          </w:p>
        </w:tc>
        <w:tc>
          <w:tcPr>
            <w:tcW w:type="dxa" w:w="2600"/>
            <w:tcBorders>
              <w:top w:val="single" w:color="CCCCCC" w:sz="1"/>
              <w:left w:val="single" w:color="CCCCCC" w:sz="1"/>
              <w:bottom w:val="single" w:color="CCCCCC" w:sz="1"/>
              <w:right w:val="single" w:color="CCCCCC" w:sz="1"/>
            </w:tcBorders>
            <w:shd w:fill="0F1620" w:val="clear"/>
            <w:tcMar>
              <w:top w:type="dxa" w:w="80"/>
              <w:left w:type="dxa" w:w="120"/>
              <w:bottom w:type="dxa" w:w="80"/>
              <w:right w:type="dxa" w:w="120"/>
            </w:tcMar>
          </w:tcPr>
          <w:p>
            <w:pPr>
              <w:jc w:val="left"/>
            </w:pPr>
            <w:r>
              <w:rPr>
                <w:rFonts w:ascii="Arial" w:cs="Arial" w:eastAsia="Arial" w:hAnsi="Arial"/>
                <w:b/>
                <w:bCs/>
                <w:color w:val="FFFFFF"/>
                <w:sz w:val="20"/>
                <w:szCs w:val="20"/>
              </w:rPr>
              <w:t xml:space="preserve">Output</w:t>
            </w:r>
          </w:p>
        </w:tc>
      </w:tr>
      <w:tr>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Dedupe → Validate → Enrich → Score → Assign</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Security (triage)</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Prioritized, assigned finding</w:t>
            </w:r>
          </w:p>
        </w:tc>
      </w:tr>
      <w:tr>
        <w:tc>
          <w:tcPr>
            <w:tcW w:type="dxa" w:w="436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Remediate / Mitigate / Accept</w:t>
            </w:r>
          </w:p>
        </w:tc>
        <w:tc>
          <w:tcPr>
            <w:tcW w:type="dxa" w:w="24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Asset owner</w:t>
            </w:r>
          </w:p>
        </w:tc>
        <w:tc>
          <w:tcPr>
            <w:tcW w:type="dxa" w:w="2600"/>
            <w:tcBorders>
              <w:top w:val="single" w:color="CCCCCC" w:sz="1"/>
              <w:left w:val="single" w:color="CCCCCC" w:sz="1"/>
              <w:bottom w:val="single" w:color="CCCCCC" w:sz="1"/>
              <w:right w:val="single" w:color="CCCCCC" w:sz="1"/>
            </w:tcBorders>
            <w:shd w:fill="F4F2EC" w:val="clear"/>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Fix, control, or exception</w:t>
            </w:r>
          </w:p>
        </w:tc>
      </w:tr>
      <w:tr>
        <w:tc>
          <w:tcPr>
            <w:tcW w:type="dxa" w:w="4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Verify → Close</w:t>
            </w:r>
          </w:p>
        </w:tc>
        <w:tc>
          <w:tcPr>
            <w:tcW w:type="dxa" w:w="24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Security + owner</w:t>
            </w:r>
          </w:p>
        </w:tc>
        <w:tc>
          <w:tcPr>
            <w:tcW w:type="dxa" w:w="26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rFonts w:ascii="Arial" w:cs="Arial" w:eastAsia="Arial" w:hAnsi="Arial"/>
                <w:b w:val="false"/>
                <w:bCs w:val="false"/>
                <w:color w:val="000000"/>
                <w:sz w:val="20"/>
                <w:szCs w:val="20"/>
              </w:rPr>
              <w:t xml:space="preserve">Verified closure + MTTR</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space="6"/>
      </w:pBdr>
      <w:jc w:val="center"/>
    </w:pPr>
    <w:r>
      <w:rPr>
        <w:rFonts w:ascii="Arial" w:cs="Arial" w:eastAsia="Arial" w:hAnsi="Arial"/>
        <w:color w:val="5B6672"/>
        <w:sz w:val="16"/>
        <w:szCs w:val="16"/>
      </w:rPr>
      <w:t xml:space="preserve">Triage &amp; Remediation Runbook   ·   </w:t>
    </w:r>
    <w:r>
      <w:rPr>
        <w:rFonts w:ascii="Arial" w:cs="Arial" w:eastAsia="Arial" w:hAnsi="Arial"/>
        <w:color w:val="5B6672"/>
        <w:sz w:val="16"/>
        <w:szCs w:val="16"/>
      </w:rPr>
      <w:t xml:space="preserve">Page </w:t>
    </w:r>
    <w:r>
      <w:rPr>
        <w:rFonts w:ascii="Arial" w:cs="Arial" w:eastAsia="Arial" w:hAnsi="Arial"/>
        <w:color w:val="5B66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b/>
        <w:bCs/>
        <w:color w:val="0F1620"/>
        <w:sz w:val="16"/>
        <w:szCs w:val="16"/>
      </w:rPr>
      <w:t xml:space="preserve">FlintScope</w:t>
    </w:r>
    <w:r>
      <w:rPr>
        <w:rFonts w:ascii="Arial" w:cs="Arial" w:eastAsia="Arial" w:hAnsi="Arial"/>
        <w:color w:val="5B6672"/>
        <w:sz w:val="16"/>
        <w:szCs w:val="16"/>
      </w:rPr>
      <w:t xml:space="preserve"> · VM Program 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decimal"/>
      <w:lvlText w:val="%1."/>
      <w:lvlJc w:val="left"/>
      <w:pPr>
        <w:ind w:left="560" w:hanging="300"/>
      </w:pPr>
    </w:lvl>
  </w:abstractNum>
  <w:abstractNum w:abstractNumId="4" w15:restartNumberingAfterBreak="0">
    <w:multiLevelType w:val="hybridMultilevel"/>
    <w:lvl w:ilvl="0" w15:tentative="1">
      <w:start w:val="1"/>
      <w:numFmt w:val="decimal"/>
      <w:lvlText w:val="%1."/>
      <w:lvlJc w:val="left"/>
      <w:pPr>
        <w:ind w:left="560" w:hanging="300"/>
      </w:pPr>
    </w:lvl>
  </w:abstractNum>
  <w:abstractNum w:abstractNumId="5" w15:restartNumberingAfterBreak="0">
    <w:multiLevelType w:val="hybridMultilevel"/>
    <w:lvl w:ilvl="0" w15:tentative="1">
      <w:start w:val="1"/>
      <w:numFmt w:val="decimal"/>
      <w:lvlText w:val="%1."/>
      <w:lvlJc w:val="left"/>
      <w:pPr>
        <w:ind w:left="5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0F1620"/>
      <w:sz w:val="28"/>
      <w:szCs w:val="28"/>
    </w:rPr>
  </w:style>
  <w:style w:type="paragraph" w:styleId="Heading2">
    <w:name w:val="Heading 2"/>
    <w:basedOn w:val="Normal"/>
    <w:next w:val="Normal"/>
    <w:qFormat/>
    <w:pPr>
      <w:spacing w:after="90" w:before="200"/>
      <w:outlineLvl w:val="1"/>
    </w:pPr>
    <w:rPr>
      <w:rFonts w:ascii="Arial" w:cs="Arial" w:eastAsia="Arial" w:hAnsi="Arial"/>
      <w:b/>
      <w:bCs/>
      <w:color w:val="1B2632"/>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Triage &amp; Remediation Runbook</dc:title>
  <dc:creator>FlintScope</dc:creator>
  <cp:lastModifiedBy>Un-named</cp:lastModifiedBy>
  <cp:revision>1</cp:revision>
  <dcterms:created xsi:type="dcterms:W3CDTF">2026-06-27T07:26:03.533Z</dcterms:created>
  <dcterms:modified xsi:type="dcterms:W3CDTF">2026-06-27T07:26:03.533Z</dcterms:modified>
</cp:coreProperties>
</file>

<file path=docProps/custom.xml><?xml version="1.0" encoding="utf-8"?>
<Properties xmlns="http://schemas.openxmlformats.org/officeDocument/2006/custom-properties" xmlns:vt="http://schemas.openxmlformats.org/officeDocument/2006/docPropsVTypes"/>
</file>