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color w:val="6B6B70"/>
          <w:sz w:val="18"/>
          <w:szCs w:val="18"/>
        </w:rPr>
        <w:t xml:space="preserve">FlintScope  ·  Vulnerability Management Program Kit  ·  Kit v1.2 (2026-10)</w:t>
      </w:r>
    </w:p>
    <w:p>
      <w:pPr>
        <w:spacing w:after="60"/>
      </w:pPr>
      <w:r>
        <w:rPr>
          <w:b/>
          <w:bCs/>
          <w:color w:val="0F1620"/>
          <w:sz w:val="40"/>
          <w:szCs w:val="40"/>
        </w:rPr>
        <w:t xml:space="preserve">VM Maturity Model &amp; 90-Day Roadmap</w:t>
      </w:r>
    </w:p>
    <w:p>
      <w:pPr>
        <w:spacing w:after="120"/>
      </w:pPr>
      <w:r>
        <w:rPr>
          <w:color w:val="6B6B70"/>
          <w:sz w:val="22"/>
          <w:szCs w:val="22"/>
        </w:rPr>
        <w:t xml:space="preserve">Five levels across six dimensions, scored the same way as the free FlintScope self-assessment, so a team can place itself, pick the next level, and plan the quarter.</w:t>
      </w:r>
    </w:p>
    <w:p>
      <w:pPr>
        <w:pStyle w:val="Heading1"/>
      </w:pPr>
      <w:r>
        <w:t xml:space="preserve">1. How the model works</w:t>
      </w:r>
    </w:p>
    <w:p>
      <w:pPr>
        <w:spacing w:after="120"/>
      </w:pPr>
      <w:r>
        <w:rPr>
          <w:sz w:val="21"/>
          <w:szCs w:val="21"/>
        </w:rPr>
        <w:t xml:space="preserve">The program is measured on six dimensions — </w:t>
      </w:r>
      <w:r>
        <w:rPr>
          <w:b/>
          <w:bCs/>
          <w:sz w:val="21"/>
          <w:szCs w:val="21"/>
        </w:rPr>
        <w:t xml:space="preserve">Coverage, Prioritization, Remediation, Automation, Governance, Metrics</w:t>
      </w:r>
      <w:r>
        <w:rPr>
          <w:sz w:val="21"/>
          <w:szCs w:val="21"/>
        </w:rPr>
        <w:t xml:space="preserve"> — each described at five levels. The matrix in §2 is the reference; the self-assessment at flintscope.com/assessment.html is the eight-question instrument that scores it. Use the assessment to get a number, and this document to understand what the number means and what the next level looks like.</w:t>
      </w:r>
    </w:p>
    <w:p>
      <w:pPr>
        <w:spacing w:after="120"/>
      </w:pPr>
      <w:r>
        <w:rPr>
          <w:sz w:val="21"/>
          <w:szCs w:val="21"/>
        </w:rPr>
        <w:t xml:space="preserve">Scoring: eight questions, each answered on a four-step ladder worth 1–4 points (8–32 total). Bands: Level 1 below 14 · Level 2 from 14 · Level 3 from 20 · Level 4 from 26 · Level 5 at 30 and above. Level 5 on the matrix describes the optimized state beyond the ladder; reaching the top band on the instrument and holding it over time is how you get there.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100"/>
        <w:gridCol w:w="5760"/>
      </w:tblGrid>
      <w:tr>
        <w:trPr>
          <w:tblHeader/>
        </w:trP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Level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Name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What it means in practice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Level 1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Initial / Ad hoc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Scanning happens; nothing about what follows is defined. Risk is whatever the scanner’s severity column says.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Level 2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Developing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The program is forming. Some routine, informal targets, judgment applied case by case. Fragile under volume or staff change.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Level 3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Defined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Policy, roles, a documented risk model and severity-based SLAs exist and are followed. The missing layer is exploit intelligence and enforcement.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Level 4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Managed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Risk-based prioritization with KEV/EPSS and exposure; enforced SLAs with escalation; a governed exception register; leadership-grade metrics.</w:t>
            </w:r>
          </w:p>
        </w:tc>
      </w:tr>
      <w:tr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Level 5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Optimized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The loop is closed and measured: decisions auditable, thresholds tuned on outcomes, coverage and freshness monitored, metrics driving improvement.</w:t>
            </w:r>
          </w:p>
        </w:tc>
      </w:tr>
    </w:tbl>
    <w:p>
      <w:pPr>
        <w:pStyle w:val="Heading1"/>
      </w:pPr>
      <w:r>
        <w:t xml:space="preserve">3. What to fix first, by level</w:t>
      </w:r>
    </w:p>
    <w:p>
      <w:pPr>
        <w:spacing w:after="120"/>
      </w:pPr>
      <w:r>
        <w:rPr>
          <w:sz w:val="21"/>
          <w:szCs w:val="21"/>
        </w:rPr>
        <w:t xml:space="preserve">The assessment reports your weakest dimension. Regardless of dimension, these are the highest-leverage moves at each level — and where the Kit component that does it lives.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sz w:val="21"/>
          <w:szCs w:val="21"/>
        </w:rPr>
        <w:t xml:space="preserve">Level 1 → 2: </w:t>
      </w:r>
      <w:r>
        <w:rPr>
          <w:sz w:val="21"/>
          <w:szCs w:val="21"/>
        </w:rPr>
        <w:t xml:space="preserve">Adopt the VM Policy (scope, tiers, roles) and publish the SLA matrix. Start the KEV rule this week: add the KEV column, and put anything that is both exploited and internet-facing at the front of the queue. Get one authenticated scan cycle on Tier 0/1 assets.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sz w:val="21"/>
          <w:szCs w:val="21"/>
        </w:rPr>
        <w:t xml:space="preserve">Level 2 → 3: </w:t>
      </w:r>
      <w:r>
        <w:rPr>
          <w:sz w:val="21"/>
          <w:szCs w:val="21"/>
        </w:rPr>
        <w:t xml:space="preserve">Replace case-by-case judgment with the Prioritization Model. Route findings to named owners through tickets (Runbook §4). Write the exception process down and start the register.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sz w:val="21"/>
          <w:szCs w:val="21"/>
        </w:rPr>
        <w:t xml:space="preserve">Level 3 → 4: </w:t>
      </w:r>
      <w:r>
        <w:rPr>
          <w:sz w:val="21"/>
          <w:szCs w:val="21"/>
        </w:rPr>
        <w:t xml:space="preserve">Turn on the threat gate and exposure factor in the Model. Enforce SLAs with escalation (Runbook §8). Turn on the Model’s Dashboard tab and deliver the first monthly executive one-pager.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sz w:val="21"/>
          <w:szCs w:val="21"/>
        </w:rPr>
        <w:t xml:space="preserve">Level 4 → 5: </w:t>
      </w:r>
      <w:r>
        <w:rPr>
          <w:sz w:val="21"/>
          <w:szCs w:val="21"/>
        </w:rPr>
        <w:t xml:space="preserve">Automate ingest-to-verify with the Scanner Onboarding Notes as the coverage standard. Ratify thresholds and SLAs with leadership on evidence. Review the model quarterly against outcomes, not opinions.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sz w:val="21"/>
          <w:szCs w:val="21"/>
        </w:rPr>
        <w:t xml:space="preserve">At Level 5: </w:t>
      </w:r>
      <w:r>
        <w:rPr>
          <w:sz w:val="21"/>
          <w:szCs w:val="21"/>
        </w:rPr>
        <w:t xml:space="preserve">The Kit is a second opinion. Use the crosswalk for assurance work and the maturity matrix to keep the program honest as people and tools change.</w:t>
      </w:r>
    </w:p>
    <w:p>
      <w:pPr>
        <w:pStyle w:val="Heading1"/>
      </w:pPr>
      <w:r>
        <w:t xml:space="preserve">4. The 90-day roadmap</w:t>
      </w:r>
    </w:p>
    <w:p>
      <w:pPr>
        <w:spacing w:after="120"/>
      </w:pPr>
      <w:r>
        <w:rPr>
          <w:sz w:val="21"/>
          <w:szCs w:val="21"/>
        </w:rPr>
        <w:t xml:space="preserve">Sequence matters more than tooling. The policy and the model come first; metrics only mean something once findings are flowing through the runbook.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200"/>
        <w:gridCol w:w="5760"/>
      </w:tblGrid>
      <w:tr>
        <w:trPr>
          <w:tblHeader/>
        </w:trP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Window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Theme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What gets done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Days 1–30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Ratify the policy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Adopt the VM Policy and standard. Confirm asset tiers against the inventory. Agree SLA thresholds and the 24-hour emergency-change authority with leadership.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Days 31–60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Wire the model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Onboard the primary scanner (Scanner Onboarding Notes). Run live findings through the Prioritization Model. Triage to the Runbook; route to real owners; open the Exception Register.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Days 61–90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Prove it works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Turn on the Model’s Dashboard tab. Deliver the first executive one-pager. Tune thresholds on evidence. Re-take the assessment and record the score.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Month 6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Re-assess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Re-take the assessment; compare dimension by dimension. Pick the next level’s moves from §3 and repeat the quarter.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/>
      </w:r>
    </w:p>
    <w:p>
      <w:pPr>
        <w:spacing w:after="120"/>
      </w:pPr>
      <w:r>
        <w:rPr>
          <w:color w:val="6B6B70"/>
          <w:sz w:val="17"/>
          <w:szCs w:val="17"/>
        </w:rPr>
        <w:t xml:space="preserve">FlintScope VM Program Kit v1.2 (2026-10)  ·  Free to use and adapt inside your organization (CC BY-NC 4.0); client or resale use needs a commercial license  ·  flintscope.com/license.html  ·  support@flintscope.com</w:t>
      </w:r>
    </w:p>
    <w:p>
      <w:pPr>
        <w:sectPr>
          <w:headerReference w:type="default" r:id="rId7"/>
          <w:footerReference w:type="default" r:id="rId8"/>
          <w:pgSz w:w="12240" w:h="15840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1"/>
      </w:pPr>
      <w:r>
        <w:t xml:space="preserve">2. The maturity matrix</w:t>
      </w:r>
    </w:p>
    <w:p>
      <w:pPr>
        <w:spacing w:after="120"/>
      </w:pPr>
      <w:r>
        <w:rPr>
          <w:sz w:val="20"/>
          <w:szCs w:val="20"/>
        </w:rPr>
        <w:t xml:space="preserve">Read across a row to see the path for one dimension; read down a column to see what a whole level looks like. Levels 1–4 restate the assessment’s answer ladder word for word, so your answers place you on this grid directly.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60"/>
        <w:gridCol w:w="2648"/>
        <w:gridCol w:w="2648"/>
        <w:gridCol w:w="2648"/>
        <w:gridCol w:w="2648"/>
        <w:gridCol w:w="2648"/>
      </w:tblGrid>
      <w:tr>
        <w:trPr>
          <w:tblHeader/>
        </w:trPr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7"/>
                <w:szCs w:val="17"/>
              </w:rPr>
              <w:t xml:space="preserve">Dimension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7"/>
                <w:szCs w:val="17"/>
              </w:rPr>
              <w:t xml:space="preserve">Level 1 · Initial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7"/>
                <w:szCs w:val="17"/>
              </w:rPr>
              <w:t xml:space="preserve">Level 2 · Developing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7"/>
                <w:szCs w:val="17"/>
              </w:rPr>
              <w:t xml:space="preserve">Level 3 · Defined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7"/>
                <w:szCs w:val="17"/>
              </w:rPr>
              <w:t xml:space="preserve">Level 4 · Managed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7"/>
                <w:szCs w:val="17"/>
              </w:rPr>
              <w:t xml:space="preserve">Level 5 · Optimized</w:t>
            </w:r>
          </w:p>
        </w:tc>
      </w:tr>
      <w:tr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7"/>
                <w:szCs w:val="17"/>
              </w:rPr>
              <w:t xml:space="preserve">Coverage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No reliable inventory; scans are ad hoc.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External or known-critical systems only.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Most production assets, on a defined schedule.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Full coverage — cloud, containers, apps — continuously.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Coverage measured per tier against the inventory; gaps and stale scans surface automatically; freshness has an SLA.</w:t>
            </w:r>
          </w:p>
        </w:tc>
      </w:tr>
      <w:tr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7"/>
                <w:szCs w:val="17"/>
              </w:rPr>
              <w:t xml:space="preserve">Prioritization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By CVSS severity alone.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CVSS plus manual judgment, case by case.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A documented risk model (asset criticality + severity).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Risk-based with exploit intelligence (KEV/EPSS) and exposure, applied systematically.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Thresholds ratified with leadership and tuned on outcomes; every priority decision recorded and auditable; the model is reviewed, not just run.</w:t>
            </w:r>
          </w:p>
        </w:tc>
      </w:tr>
      <w:tr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7"/>
                <w:szCs w:val="17"/>
              </w:rPr>
              <w:t xml:space="preserve">Remediation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No SLAs; findings routed manually and inconsistently.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Informal targets; email or spreadsheet handoff.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Documented SLAs by severity; tickets to defined owners.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Risk-based SLAs, tracked and enforced; automated routing with SLA clocks and escalation.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SLAs consistently met; verification built into closure; exceptions rare, time-bound and expiring cleanly.</w:t>
            </w:r>
          </w:p>
        </w:tc>
      </w:tr>
      <w:tr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7"/>
                <w:szCs w:val="17"/>
              </w:rPr>
              <w:t xml:space="preserve">Automation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Mostly manual.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Some scripts and exports.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Integrated tooling for the key steps.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Orchestrated end to end, with verification.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Closed loop — ingest, triage, ticket, verify, measure — with humans handling only exceptions and judgment calls.</w:t>
            </w:r>
          </w:p>
        </w:tc>
      </w:tr>
      <w:tr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7"/>
                <w:szCs w:val="17"/>
              </w:rPr>
              <w:t xml:space="preserve">Governance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No policy.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Informal practices.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Documented policy and roles.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Policy + RACI + a governed exception / risk-acceptance register.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Annual review with evidence; leadership ratifies SLAs and risk appetite; enforcement is visible and consistent.</w:t>
            </w:r>
          </w:p>
        </w:tc>
      </w:tr>
      <w:tr>
        <w:tc>
          <w:tcPr>
            <w:tcW w:type="dxa" w:w="1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sz w:val="17"/>
                <w:szCs w:val="17"/>
              </w:rPr>
              <w:t xml:space="preserve">Metrics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Nothing, or raw scan counts.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Open vulnerability counts.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MTTR and SLA adherence by severity.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Risk burndown and benchmarks, board-ready.</w:t>
            </w:r>
          </w:p>
        </w:tc>
        <w:tc>
          <w:tcPr>
            <w:tcW w:type="dxa" w:w="26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7"/>
                <w:szCs w:val="17"/>
              </w:rPr>
              <w:t xml:space="preserve">Known-exploited exposure, trend and program effect reported monthly; metrics feed back into tuning the model and SLAs.</w:t>
            </w:r>
          </w:p>
        </w:tc>
      </w:tr>
    </w:tbl>
    <w:sectPr>
      <w:headerReference w:type="default" r:id="rId9"/>
      <w:footerReference w:type="default" r:id="rId10"/>
      <w:pgSz w:w="15840" w:h="12240" w:orient="landscape"/>
      <w:pgMar w:top="1080" w:right="720" w:bottom="108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6B6B70"/>
        <w:sz w:val="18"/>
        <w:szCs w:val="18"/>
      </w:rPr>
      <w:t xml:space="preserve">VM Maturity Model &amp; 90-Day Roadmap   ·   Page </w:t>
    </w:r>
    <w:r>
      <w:rPr>
        <w:color w:val="6B6B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6B6B70"/>
        <w:sz w:val="18"/>
        <w:szCs w:val="18"/>
      </w:rPr>
      <w:t xml:space="preserve">VM Maturity Model &amp; 90-Day Roadmap   ·   Page </w:t>
    </w:r>
    <w:r>
      <w:rPr>
        <w:color w:val="6B6B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6B6B70"/>
        <w:sz w:val="18"/>
        <w:szCs w:val="18"/>
      </w:rPr>
      <w:t xml:space="preserve">FlintScope · VM Program Kit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6B6B70"/>
        <w:sz w:val="18"/>
        <w:szCs w:val="18"/>
      </w:rPr>
      <w:t xml:space="preserve">FlintScope · VM Program Kit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320"/>
      <w:outlineLvl w:val="0"/>
    </w:pPr>
    <w:rPr>
      <w:rFonts w:ascii="Arial" w:cs="Arial" w:eastAsia="Arial" w:hAnsi="Arial"/>
      <w:b/>
      <w:bCs/>
      <w:color w:val="0F1620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1B2632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VM Maturity Model &amp; 90-Day Roadmap</dc:title>
  <dc:creator>FlintScope, LLC</dc:creator>
  <cp:lastModifiedBy>Un-named</cp:lastModifiedBy>
  <cp:revision>1</cp:revision>
  <dcterms:created xsi:type="dcterms:W3CDTF">2026-10-01T15:05:26.008Z</dcterms:created>
  <dcterms:modified xsi:type="dcterms:W3CDTF">2026-10-01T15:05:26.009Z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