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00"/>
      </w:pPr>
      <w:r>
        <w:rPr>
          <w:rFonts w:ascii="Arial" w:cs="Arial" w:eastAsia="Arial" w:hAnsi="Arial"/>
          <w:b/>
          <w:bCs/>
          <w:color w:val="0F1620"/>
          <w:sz w:val="26"/>
          <w:szCs w:val="26"/>
        </w:rPr>
        <w:t xml:space="preserve">FlintScope</w:t>
      </w:r>
      <w:r>
        <w:rPr>
          <w:rFonts w:ascii="Arial" w:cs="Arial" w:eastAsia="Arial" w:hAnsi="Arial"/>
          <w:color w:val="5B6672"/>
          <w:sz w:val="20"/>
          <w:szCs w:val="20"/>
        </w:rPr>
        <w:t xml:space="preserve">  ·  Vulnerability Management Program Kit  ·  Kit v1.2 (2026-10)  ·  CC BY-NC 4.0  ·  flintscope.com/license.html</w:t>
      </w:r>
    </w:p>
    <w:p>
      <w:pPr>
        <w:pBdr>
          <w:bottom w:val="single" w:color="C9A24B" w:sz="10" w:space="6"/>
        </w:pBdr>
        <w:spacing w:after="260"/>
      </w:pPr>
      <w:r>
        <w:rPr>
          <w:rFonts w:ascii="Arial" w:cs="Arial" w:eastAsia="Arial" w:hAnsi="Arial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color w:val="0F1620"/>
          <w:sz w:val="44"/>
          <w:szCs w:val="44"/>
        </w:rPr>
        <w:t xml:space="preserve">Vulnerability Management Policy &amp; Standard</w:t>
      </w:r>
    </w:p>
    <w:p>
      <w:pPr>
        <w:spacing w:after="240"/>
      </w:pPr>
      <w:r>
        <w:rPr>
          <w:rFonts w:ascii="Arial" w:cs="Arial" w:eastAsia="Arial" w:hAnsi="Arial"/>
          <w:color w:val="5B6672"/>
          <w:sz w:val="24"/>
          <w:szCs w:val="24"/>
        </w:rPr>
        <w:t xml:space="preserve">Risk-based identification, prioritization, and remediation of vulnerabilities.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Document owner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[Head of Security / CISO]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1.0  (adapt before adoption)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Status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Template — customize bracketed fields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Review cycle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Annual, or on material change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Applies to</w:t>
            </w:r>
          </w:p>
        </w:tc>
        <w:tc>
          <w:tcPr>
            <w:tcW w:type="dxa" w:w="6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All information systems, applications, and infrastructure owned or operated by [Company]</w:t>
            </w:r>
          </w:p>
        </w:tc>
      </w:tr>
    </w:tbl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1. Purpose</w:t>
      </w:r>
    </w:p>
    <w:p>
      <w:pPr>
        <w:spacing w:after="120"/>
      </w:pPr>
      <w:r>
        <w:rPr>
          <w:rFonts w:ascii="Arial" w:cs="Arial" w:eastAsia="Arial" w:hAnsi="Arial"/>
        </w:rPr>
        <w:t xml:space="preserve">This policy establishes how [Company] identifies, prioritizes, and remediates security vulnerabilities across its environment. Its goal is not to fix every vulnerability — that is neither possible nor useful — but to ensure that finite remediation effort is spent first on the vulnerabilities most likely to cause real harm.</w:t>
      </w:r>
    </w:p>
    <w:p>
      <w:pPr>
        <w:spacing w:after="120"/>
      </w:pPr>
      <w:r>
        <w:rPr>
          <w:rFonts w:ascii="Arial" w:cs="Arial" w:eastAsia="Arial" w:hAnsi="Arial"/>
        </w:rPr>
        <w:t xml:space="preserve">The program is built on a single principle: vulnerabilities are ranked by demonstrated risk — active exploitation, exposure, and asset criticality — not by severity score alone. A CVSS 7.5 that is being exploited against internet-facing, business-critical systems outranks a CVSS 9.1 that no one is exploiting on an isolated host.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2. Scope</w:t>
      </w:r>
    </w:p>
    <w:p>
      <w:pPr>
        <w:spacing w:after="120"/>
      </w:pPr>
      <w:r>
        <w:rPr>
          <w:rFonts w:ascii="Arial" w:cs="Arial" w:eastAsia="Arial" w:hAnsi="Arial"/>
        </w:rPr>
        <w:t xml:space="preserve">This policy applies to all production and non-production systems, including: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Internet-facing and internal applications, APIs, and services;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Servers, endpoints, containers, and network and cloud infrastructure;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Third-party and open-source components (software composition);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Systems operated by vendors on [Company]'s behalf, where contractually permitted.</w:t>
      </w:r>
    </w:p>
    <w:p>
      <w:pPr>
        <w:spacing w:after="120"/>
      </w:pPr>
      <w:r>
        <w:rPr>
          <w:rFonts w:ascii="Arial" w:cs="Arial" w:eastAsia="Arial" w:hAnsi="Arial"/>
        </w:rPr>
        <w:t xml:space="preserve">Exceptions to scope require documented approval from the document owner.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3. Policy Statements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</w:rPr>
        <w:t xml:space="preserve">All in-scope assets shall be discoverable through an authoritative inventory and assigned a criticality tier (Section 5).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</w:rPr>
        <w:t xml:space="preserve">Vulnerabilities shall be identified continuously through the sources defined in Section 6.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</w:rPr>
        <w:t xml:space="preserve">Every finding shall be prioritized using the risk-based methodology in Section 7, producing a priority of P1–P4.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</w:rPr>
        <w:t xml:space="preserve">Findings shall be remediated within the service levels in Section 8, or formally accepted under Section 9.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</w:rPr>
        <w:t xml:space="preserve">Program performance shall be measured and reported on the cadence in Section 10.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</w:rPr>
        <w:t xml:space="preserve">Deviations from this policy require a documented, time-bound exception approved by the accountable owner.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4. Roles &amp; Responsibilities</w:t>
      </w:r>
    </w:p>
    <w:p>
      <w:pPr>
        <w:spacing w:after="120"/>
      </w:pPr>
      <w:r>
        <w:rPr>
          <w:rFonts w:ascii="Arial" w:cs="Arial" w:eastAsia="Arial" w:hAnsi="Arial"/>
        </w:rPr>
        <w:t xml:space="preserve">Responsibilities follow a RACI model. Named roles should be mapped to [Company]'s actual titles before adoption.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60"/>
        <w:gridCol w:w="1800"/>
        <w:gridCol w:w="1700"/>
        <w:gridCol w:w="1500"/>
        <w:gridCol w:w="1400"/>
      </w:tblGrid>
      <w:tr>
        <w:trPr>
          <w:tblHeader/>
        </w:trP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Security / VM Team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Asset / System Owner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 &amp; Engineering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Executive Sponsor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Maintain asset inventory &amp; tiers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 / R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Run scans &amp; ingest threat intel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 / R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Prioritize &amp; assign findings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 / R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Remediate within SLA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Approve exceptions / risk acceptance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Report metrics &amp; posture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A / R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B6672"/>
          <w:sz w:val="18"/>
          <w:szCs w:val="18"/>
        </w:rPr>
        <w:t xml:space="preserve">R = Responsible · A = Accountable · C = Consulted · I = Informed.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5. Asset Inventory &amp; Criticality Tiering</w:t>
      </w:r>
    </w:p>
    <w:p>
      <w:pPr>
        <w:spacing w:after="120"/>
      </w:pPr>
      <w:r>
        <w:rPr>
          <w:rFonts w:ascii="Arial" w:cs="Arial" w:eastAsia="Arial" w:hAnsi="Arial"/>
        </w:rPr>
        <w:t xml:space="preserve">Prioritization depends on knowing what an asset is worth. Each asset is assigned one of four tiers, which feed directly into the scoring model.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060"/>
        <w:gridCol w:w="3100"/>
      </w:tblGrid>
      <w:tr>
        <w:trPr>
          <w:tblHeader/>
        </w:trP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Tier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Examples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Tier 0 — Crown jewels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Loss would cause severe, possibly existential harm; regulated or revenue-critical data and systems.</w:t>
            </w:r>
          </w:p>
        </w:tc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Customer data stores, payment systems, identity providers, core production.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Tier 1 — Prod-critical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Directly supports production or revenue; outage or breach has major business impact.</w:t>
            </w:r>
          </w:p>
        </w:tc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Customer-facing apps, primary APIs, build/deploy pipeline.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Tier 2 — Production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Standard production systems with moderate impact.</w:t>
            </w:r>
          </w:p>
        </w:tc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Internal business apps, supporting services.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Tier 3 — Non-prod</w:t>
            </w:r>
          </w:p>
        </w:tc>
        <w:tc>
          <w:tcPr>
            <w:tcW w:type="dxa" w:w="40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Development, test, or isolated systems with limited blast radius.</w:t>
            </w:r>
          </w:p>
        </w:tc>
        <w:tc>
          <w:tcPr>
            <w:tcW w:type="dxa" w:w="3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Dev/test environments, sandboxes, lab hosts.</w:t>
            </w:r>
          </w:p>
        </w:tc>
      </w:tr>
    </w:tbl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6. Vulnerability Identification</w:t>
      </w:r>
    </w:p>
    <w:p>
      <w:pPr>
        <w:spacing w:after="120"/>
      </w:pPr>
      <w:r>
        <w:rPr>
          <w:rFonts w:ascii="Arial" w:cs="Arial" w:eastAsia="Arial" w:hAnsi="Arial"/>
        </w:rPr>
        <w:t xml:space="preserve">Findings are aggregated continuously from multiple sources so that prioritization reflects the full picture, not a single scanner's view: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Authenticated and unauthenticated infrastructure and application scanning;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Software composition analysis (SCA) for open-source and third-party components;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The CISA Known Exploited Vulnerabilities (KEV) catalog and exploit-prediction (EPSS) data;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Penetration tests, red-team findings, and responsible-disclosure / bug-bounty reports;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Cloud security posture and configuration findings.</w:t>
      </w:r>
    </w:p>
    <w:p>
      <w:pPr>
        <w:spacing w:after="120"/>
      </w:pPr>
      <w:r>
        <w:rPr>
          <w:rFonts w:ascii="Arial" w:cs="Arial" w:eastAsia="Arial" w:hAnsi="Arial"/>
        </w:rPr>
        <w:t xml:space="preserve">Recommended minimum cadence (tune to risk appetite):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Asset tier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Authenticated scan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KEV / EPSS refresh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Tier 0 / Tier 1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Weekly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Daily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Tier 2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Monthly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Daily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Tier 3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Quarterly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Weekly</w:t>
            </w:r>
          </w:p>
        </w:tc>
      </w:tr>
    </w:tbl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7. Risk-Based Prioritization</w:t>
      </w:r>
    </w:p>
    <w:p>
      <w:pPr>
        <w:spacing w:after="120"/>
      </w:pPr>
      <w:r>
        <w:rPr>
          <w:rFonts w:ascii="Arial" w:cs="Arial" w:eastAsia="Arial" w:hAnsi="Arial"/>
        </w:rPr>
        <w:t xml:space="preserve">Every finding is prioritized in two stages. The model is implemented in the accompanying Prioritization Model worksheet; this section defines the method it encodes.</w:t>
      </w:r>
    </w:p>
    <w:p>
      <w:pPr>
        <w:pStyle w:val="Heading2"/>
        <w:spacing w:after="90" w:before="200"/>
      </w:pPr>
      <w:r>
        <w:rPr>
          <w:rFonts w:ascii="Arial" w:cs="Arial" w:eastAsia="Arial" w:hAnsi="Arial"/>
          <w:b/>
          <w:bCs/>
          <w:color w:val="1B2632"/>
          <w:sz w:val="24"/>
          <w:szCs w:val="24"/>
        </w:rPr>
        <w:t xml:space="preserve">Stage 1 — Threat gate</w:t>
      </w:r>
    </w:p>
    <w:p>
      <w:pPr>
        <w:spacing w:after="120"/>
      </w:pPr>
      <w:r>
        <w:rPr>
          <w:rFonts w:ascii="Arial" w:cs="Arial" w:eastAsia="Arial" w:hAnsi="Arial"/>
        </w:rPr>
        <w:t xml:space="preserve">A finding is escalated immediately to P1, regardless of CVSS, when the affected asset is internet-facing and any of the following is true: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It appears in the CISA KEV catalog;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It is known to be actively exploited in the wild;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Its EPSS score meets or exceeds the gate threshold (default 0.90).</w:t>
      </w:r>
    </w:p>
    <w:p>
      <w:pPr>
        <w:pStyle w:val="Heading2"/>
        <w:spacing w:after="90" w:before="200"/>
      </w:pPr>
      <w:r>
        <w:rPr>
          <w:rFonts w:ascii="Arial" w:cs="Arial" w:eastAsia="Arial" w:hAnsi="Arial"/>
          <w:b/>
          <w:bCs/>
          <w:color w:val="1B2632"/>
          <w:sz w:val="24"/>
          <w:szCs w:val="24"/>
        </w:rPr>
        <w:t xml:space="preserve">Stage 2 — Composite score</w:t>
      </w:r>
    </w:p>
    <w:p>
      <w:pPr>
        <w:spacing w:after="120"/>
      </w:pPr>
      <w:r>
        <w:rPr>
          <w:rFonts w:ascii="Arial" w:cs="Arial" w:eastAsia="Arial" w:hAnsi="Arial"/>
        </w:rPr>
        <w:t xml:space="preserve">Findings that do not hit the gate are scored on four factors, each rated 1–4: Severity (from CVSS), Exploit Likelihood (from EPSS/known exploits), Asset Criticality (Section 5), and Exposure (internet-facing → isolated). A finding on the CISA KEV catalog or known to be actively exploited takes the maximum Exploit Likelihood rating, so an exploited finding that is not internet-facing is ranked by its exposure and asset criticality rather than escalated automatically. The factors are multiplied into a composite score that maps to a priority tier (P1–P4). A documented compensating control that materially reduces exploitability may lower the computed priority by one tier — never more, and never off a threat-gate P1.</w:t>
      </w:r>
    </w:p>
    <w:p>
      <w:pPr>
        <w:spacing w:after="120"/>
      </w:pPr>
      <w:r>
        <w:rPr>
          <w:rFonts w:ascii="Arial" w:cs="Arial" w:eastAsia="Arial" w:hAnsi="Arial"/>
        </w:rPr>
        <w:t xml:space="preserve">This ensures a high-severity finding on an isolated, non-exploited, non-production asset does not consume effort owed to a moderate-severity finding that is exposed and exploited.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8. Severity &amp; SLA Matrix</w:t>
      </w:r>
    </w:p>
    <w:p>
      <w:pPr>
        <w:spacing w:after="120"/>
      </w:pPr>
      <w:r>
        <w:rPr>
          <w:rFonts w:ascii="Arial" w:cs="Arial" w:eastAsia="Arial" w:hAnsi="Arial"/>
        </w:rPr>
        <w:t xml:space="preserve">Remediation service levels are measured from the date a finding is validated and assigned. The 24-hour P1 fast-track applies specifically to actively exploited, internet-facing findings.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400"/>
        <w:gridCol w:w="3160"/>
        <w:gridCol w:w="2500"/>
      </w:tblGrid>
      <w:tr>
        <w:trPr>
          <w:tblHeader/>
        </w:trP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Remediation SLA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Typical trigger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P1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Critical / active threat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72 hours (24 hours if actively exploited and internet-facing)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Exploited and internet-facing, or top composite score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P2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High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30 days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High composite: severe + exposed or exploited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P3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Medium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90 days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Moderate composite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P4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Low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180 days (or risk-accept)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Low composite; limited exposure / criticality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B6672"/>
          <w:sz w:val="18"/>
          <w:szCs w:val="18"/>
        </w:rPr>
        <w:t xml:space="preserve">SLA thresholds are configurable in the Prioritization Model worksheet and should be ratified by [Company] leadership against its risk appetite.</w:t>
      </w:r>
    </w:p>
    <w:p>
      <w:r>
        <w:rPr>
          <w:b/>
          <w:i/>
          <w:color w:val="595959"/>
          <w:sz w:val="18"/>
        </w:rPr>
        <w:t xml:space="preserve">Operator's note — </w:t>
      </w:r>
      <w:r>
        <w:rPr>
          <w:i/>
          <w:color w:val="595959"/>
          <w:sz w:val="18"/>
        </w:rPr>
        <w:t>the 24-hour fast-track is only real where emergency-change authority has been agreed with leadership in advance. Ratify that authority together with this policy — an active exploitation window is the wrong time to discover your change process.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9. Remediation &amp; Exception Management</w:t>
      </w:r>
    </w:p>
    <w:p>
      <w:pPr>
        <w:spacing w:after="120"/>
      </w:pPr>
      <w:r>
        <w:rPr>
          <w:rFonts w:ascii="Arial" w:cs="Arial" w:eastAsia="Arial" w:hAnsi="Arial"/>
        </w:rPr>
        <w:t xml:space="preserve">Owners remediate by patching, upgrading, reconfiguring, or applying a compensating control. Where remediation within SLA is not feasible, a formal exception is required.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Exceptions must state the finding, the business reason, compensating controls, a residual-risk assessment, and an expiry date;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Exceptions for P1/P2 findings require executive-sponsor approval; P3/P4 may be approved by the asset owner with Security consulted;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All exceptions are tracked, time-bound, and reviewed at or before expiry. An expired exception reverts to an active SLA breach.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10. Metrics &amp; Reporting</w:t>
      </w:r>
    </w:p>
    <w:p>
      <w:pPr>
        <w:spacing w:after="120"/>
      </w:pPr>
      <w:r>
        <w:rPr>
          <w:rFonts w:ascii="Arial" w:cs="Arial" w:eastAsia="Arial" w:hAnsi="Arial"/>
        </w:rPr>
        <w:t xml:space="preserve">Program health is measured with a small, defensible set of metrics (computed on the Dashboard tab of the Prioritization Model):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Mean time to remediate (MTTR) by priority;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SLA attainment rate (percentage closed within SLA) by priority;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Open backlog and backlog aging by priority;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Exposure to known-exploited (KEV) vulnerabilities.</w:t>
      </w:r>
    </w:p>
    <w:p>
      <w:pPr>
        <w:spacing w:after="120"/>
      </w:pPr>
      <w:r>
        <w:rPr>
          <w:rFonts w:ascii="Arial" w:cs="Arial" w:eastAsia="Arial" w:hAnsi="Arial"/>
        </w:rPr>
        <w:t xml:space="preserve">Operational metrics are reviewed [weekly] by the Security team; a one-page executive summary (Executive Reporting Template) is delivered [monthly] to leadership.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11. Governance, Review &amp; Enforcement</w:t>
      </w:r>
    </w:p>
    <w:p>
      <w:pPr>
        <w:spacing w:after="120"/>
      </w:pPr>
      <w:r>
        <w:rPr>
          <w:rFonts w:ascii="Arial" w:cs="Arial" w:eastAsia="Arial" w:hAnsi="Arial"/>
        </w:rPr>
        <w:t xml:space="preserve">This policy is owned by [Head of Security / CISO] and reviewed at least annually, or whenever the threat landscape, regulatory obligations, or environment change materially. Compliance is mandatory; repeated unremediated SLA breaches without an approved exception are escalated to the executive sponsor.</w:t>
      </w:r>
    </w:p>
    <w:p>
      <w:pPr>
        <w:pStyle w:val="Heading1"/>
        <w:pBdr>
          <w:bottom w:val="single" w:color="C9A24B" w:sz="6" w:space="4"/>
        </w:pBdr>
        <w:spacing w:after="140" w:before="280"/>
      </w:pPr>
      <w:r>
        <w:rPr>
          <w:rFonts w:ascii="Arial" w:cs="Arial" w:eastAsia="Arial" w:hAnsi="Arial"/>
          <w:b/>
          <w:bCs/>
          <w:color w:val="0F1620"/>
          <w:sz w:val="28"/>
          <w:szCs w:val="28"/>
        </w:rPr>
        <w:t xml:space="preserve">12. Revision History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200"/>
        <w:gridCol w:w="2600"/>
        <w:gridCol w:w="2960"/>
      </w:tblGrid>
      <w:tr>
        <w:trPr>
          <w:tblHeader/>
        </w:trP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Author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F162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Summary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1.0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[date]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[author]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Initial adoption from FlintScope template.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2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 w:space="6"/>
      </w:pBdr>
      <w:jc w:val="center"/>
    </w:pPr>
    <w:r>
      <w:rPr>
        <w:rFonts w:ascii="Arial" w:cs="Arial" w:eastAsia="Arial" w:hAnsi="Arial"/>
        <w:color w:val="5B6672"/>
        <w:sz w:val="16"/>
        <w:szCs w:val="16"/>
      </w:rPr>
      <w:t xml:space="preserve">Vulnerability Management Policy   ·   </w:t>
    </w:r>
    <w:r>
      <w:rPr>
        <w:rFonts w:ascii="Arial" w:cs="Arial" w:eastAsia="Arial" w:hAnsi="Arial"/>
        <w:color w:val="5B6672"/>
        <w:sz w:val="16"/>
        <w:szCs w:val="16"/>
      </w:rPr>
      <w:t xml:space="preserve">Page </w:t>
    </w:r>
    <w:r>
      <w:rPr>
        <w:rFonts w:ascii="Arial" w:cs="Arial" w:eastAsia="Arial" w:hAnsi="Arial"/>
        <w:color w:val="5B66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b/>
        <w:bCs/>
        <w:color w:val="0F1620"/>
        <w:sz w:val="16"/>
        <w:szCs w:val="16"/>
      </w:rPr>
      <w:t xml:space="preserve">FlintScope</w:t>
    </w:r>
    <w:r>
      <w:rPr>
        <w:rFonts w:ascii="Arial" w:cs="Arial" w:eastAsia="Arial" w:hAnsi="Arial"/>
        <w:color w:val="5B6672"/>
        <w:sz w:val="16"/>
        <w:szCs w:val="16"/>
      </w:rPr>
      <w:t xml:space="preserve"> · VM Program 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F162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200"/>
      <w:outlineLvl w:val="1"/>
    </w:pPr>
    <w:rPr>
      <w:rFonts w:ascii="Arial" w:cs="Arial" w:eastAsia="Arial" w:hAnsi="Arial"/>
      <w:b/>
      <w:bCs/>
      <w:color w:val="1B2632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Vulnerability Management Policy</dc:title>
  <dc:creator>FlintScope</dc:creator>
  <cp:lastModifiedBy>Un-named</cp:lastModifiedBy>
  <cp:revision>1</cp:revision>
  <dcterms:created xsi:type="dcterms:W3CDTF">2026-06-27T07:26:03.524Z</dcterms:created>
  <dcterms:modified xsi:type="dcterms:W3CDTF">2026-06-27T07:26:03.524Z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